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14688" w14:textId="77777777" w:rsidR="003D1528" w:rsidRDefault="00000000">
      <w:pPr>
        <w:spacing w:before="240" w:after="240" w:line="240" w:lineRule="auto"/>
        <w:jc w:val="center"/>
        <w:rPr>
          <w:rFonts w:ascii="Cambria" w:eastAsia="Times New Roman" w:hAnsi="Cambria" w:cs="Times New Roman"/>
          <w:b/>
          <w:sz w:val="24"/>
          <w:szCs w:val="28"/>
          <w:shd w:val="clear" w:color="auto" w:fill="FFFFFF"/>
          <w:lang w:val="es-ES_tradnl" w:eastAsia="es-ES"/>
        </w:rPr>
      </w:pPr>
      <w:r>
        <w:rPr>
          <w:rFonts w:ascii="Cambria" w:eastAsia="Times New Roman" w:hAnsi="Cambria" w:cs="Times New Roman"/>
          <w:b/>
          <w:sz w:val="24"/>
          <w:szCs w:val="28"/>
          <w:shd w:val="clear" w:color="auto" w:fill="FFFFFF"/>
          <w:lang w:val="es-ES_tradnl" w:eastAsia="es-ES"/>
        </w:rPr>
        <w:t>PLANTILLA Y DIRECTRICES PARA MAQUETAR LA RESEÑA</w:t>
      </w:r>
    </w:p>
    <w:p w14:paraId="555BAF17" w14:textId="77777777" w:rsidR="003D1528" w:rsidRDefault="00000000">
      <w:pPr>
        <w:shd w:val="clear" w:color="auto" w:fill="FFFFFF"/>
        <w:spacing w:before="240" w:after="120" w:line="240" w:lineRule="auto"/>
        <w:jc w:val="both"/>
        <w:rPr>
          <w:rFonts w:ascii="Cambria" w:eastAsia="Times New Roman" w:hAnsi="Cambria" w:cs="Cambria"/>
          <w:b/>
          <w:color w:val="222222"/>
          <w:sz w:val="24"/>
          <w:szCs w:val="28"/>
          <w:shd w:val="clear" w:color="auto" w:fill="FFFFFF"/>
          <w:lang w:val="de-DE" w:eastAsia="de-DE"/>
        </w:rPr>
      </w:pPr>
      <w:r>
        <w:rPr>
          <w:rFonts w:ascii="Cambria" w:eastAsia="Times New Roman" w:hAnsi="Cambria" w:cs="Cambria"/>
          <w:b/>
          <w:color w:val="222222"/>
          <w:sz w:val="24"/>
          <w:szCs w:val="28"/>
          <w:shd w:val="clear" w:color="auto" w:fill="FFFFFF"/>
          <w:lang w:val="de-DE" w:eastAsia="de-DE"/>
        </w:rPr>
        <w:t>Requisitos generales</w:t>
      </w:r>
    </w:p>
    <w:p w14:paraId="3958DD79"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Reseña: es un escrito corto en el que se emite un juicio de valor sobre una obra determinada. Es importante que contenga información relevante con la que el lector pueda hacerse una idea general de la obra y tenga una apreciación sobre la misma.</w:t>
      </w:r>
    </w:p>
    <w:p w14:paraId="213535D0"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Se aceptan envíos en inglés, español y portugués.</w:t>
      </w:r>
    </w:p>
    <w:p w14:paraId="115E31A6"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Extensión de la reseña: 800 y 1500 palabras.</w:t>
      </w:r>
    </w:p>
    <w:p w14:paraId="65A372E9"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La obra reseñada será de preferencia relacionada con el objeto y alcance de la revista.</w:t>
      </w:r>
    </w:p>
    <w:p w14:paraId="4A7C4B08"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Tener en cuenta el prestigio del autor y su obra a reseñar, ha de ser reconocido en el ámbito académico.</w:t>
      </w:r>
    </w:p>
    <w:p w14:paraId="1D574B73"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El año de publicación de la obra reseñada no debe ser mayor a tres años.</w:t>
      </w:r>
    </w:p>
    <w:p w14:paraId="38F63094"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En cuanto a contenido tener en cuenta: antecedentes del autor, la estructura de la obra, el estilo y las razones por las cuáles se recomienda. Finalmente, una breve conclusión que dé cuenta del comentario valorativo que se hace de la obra que se reseña.</w:t>
      </w:r>
    </w:p>
    <w:p w14:paraId="57B26146" w14:textId="77777777" w:rsidR="003D1528" w:rsidRDefault="00000000">
      <w:pPr>
        <w:shd w:val="clear" w:color="auto" w:fill="FFFFFF"/>
        <w:spacing w:before="200" w:after="120" w:line="240" w:lineRule="auto"/>
        <w:jc w:val="both"/>
        <w:rPr>
          <w:rFonts w:ascii="Cambria" w:eastAsia="Times New Roman" w:hAnsi="Cambria" w:cs="Cambria"/>
          <w:b/>
          <w:color w:val="222222"/>
          <w:sz w:val="24"/>
          <w:szCs w:val="28"/>
          <w:shd w:val="clear" w:color="auto" w:fill="FFFFFF"/>
          <w:lang w:val="de-DE" w:eastAsia="de-DE"/>
        </w:rPr>
      </w:pPr>
      <w:r>
        <w:rPr>
          <w:rFonts w:ascii="Cambria" w:eastAsia="Times New Roman" w:hAnsi="Cambria" w:cs="Cambria"/>
          <w:b/>
          <w:color w:val="222222"/>
          <w:sz w:val="24"/>
          <w:szCs w:val="28"/>
          <w:shd w:val="clear" w:color="auto" w:fill="FFFFFF"/>
          <w:lang w:val="de-DE" w:eastAsia="de-DE"/>
        </w:rPr>
        <w:t>Requisitos de formato</w:t>
      </w:r>
    </w:p>
    <w:p w14:paraId="714AAD84"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El manuscrito debe estar escrito en Cambria, tamaño 11p, espacio sencillo 1,0.</w:t>
      </w:r>
    </w:p>
    <w:p w14:paraId="58EFA127"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El nombre de autor de la reseña referenciarlo al principio del texto, con la afiliación institucional.</w:t>
      </w:r>
    </w:p>
    <w:p w14:paraId="7C064D46" w14:textId="77777777" w:rsidR="003D1528" w:rsidRDefault="00000000">
      <w:pPr>
        <w:pStyle w:val="FirstParaofSectionTextStyle"/>
        <w:numPr>
          <w:ilvl w:val="0"/>
          <w:numId w:val="1"/>
        </w:numPr>
        <w:ind w:left="360"/>
        <w:rPr>
          <w:rFonts w:asciiTheme="majorHAnsi" w:eastAsia="Times New Roman" w:hAnsiTheme="majorHAnsi" w:cstheme="minorHAnsi"/>
          <w:color w:val="111111"/>
          <w:lang w:val="es-ES" w:eastAsia="es-ES"/>
        </w:rPr>
      </w:pPr>
      <w:r>
        <w:rPr>
          <w:rFonts w:asciiTheme="majorHAnsi" w:eastAsia="Times New Roman" w:hAnsiTheme="majorHAnsi" w:cstheme="minorHAnsi"/>
          <w:color w:val="111111"/>
          <w:lang w:val="es-ES" w:eastAsia="es-ES"/>
        </w:rPr>
        <w:t xml:space="preserve">El encabezado debe contener los datos de la obra reseñada. </w:t>
      </w:r>
    </w:p>
    <w:p w14:paraId="18CF7D27" w14:textId="77777777" w:rsidR="003D1528" w:rsidRDefault="00000000">
      <w:pPr>
        <w:pStyle w:val="FirstParaofSectionTextStyle"/>
        <w:rPr>
          <w:rFonts w:asciiTheme="majorHAnsi" w:eastAsia="Times New Roman" w:hAnsiTheme="majorHAnsi" w:cstheme="minorHAnsi"/>
          <w:color w:val="111111"/>
          <w:lang w:val="es-ES" w:eastAsia="es-ES"/>
        </w:rPr>
      </w:pPr>
      <w:r>
        <w:rPr>
          <w:rFonts w:ascii="Times New Roman" w:eastAsia="Times New Roman" w:hAnsi="Times New Roman" w:cs="Times New Roman"/>
          <w:color w:val="000000"/>
          <w:shd w:val="clear" w:color="auto" w:fill="FFFFFF"/>
          <w:lang w:val="es-ES" w:eastAsia="es-ES_tradnl"/>
        </w:rPr>
        <w:tab/>
      </w:r>
      <w:r>
        <w:rPr>
          <w:rFonts w:asciiTheme="majorHAnsi" w:eastAsia="Times New Roman" w:hAnsiTheme="majorHAnsi" w:cstheme="minorHAnsi"/>
          <w:color w:val="111111"/>
          <w:lang w:val="es-ES" w:eastAsia="es-ES"/>
        </w:rPr>
        <w:t xml:space="preserve">Apellidos, A. (año). </w:t>
      </w:r>
      <w:r>
        <w:rPr>
          <w:rFonts w:asciiTheme="majorHAnsi" w:eastAsia="Times New Roman" w:hAnsiTheme="majorHAnsi" w:cstheme="minorHAnsi"/>
          <w:i/>
          <w:color w:val="111111"/>
          <w:lang w:val="es-ES" w:eastAsia="es-ES"/>
        </w:rPr>
        <w:t>Título</w:t>
      </w:r>
      <w:r>
        <w:rPr>
          <w:rFonts w:asciiTheme="majorHAnsi" w:eastAsia="Times New Roman" w:hAnsiTheme="majorHAnsi" w:cstheme="minorHAnsi"/>
          <w:color w:val="111111"/>
          <w:lang w:val="es-ES" w:eastAsia="es-ES"/>
        </w:rPr>
        <w:t xml:space="preserve">. Ciudad: Editorial. </w:t>
      </w:r>
      <w:proofErr w:type="spellStart"/>
      <w:r>
        <w:rPr>
          <w:rFonts w:asciiTheme="majorHAnsi" w:eastAsia="Times New Roman" w:hAnsiTheme="majorHAnsi" w:cstheme="minorHAnsi"/>
          <w:color w:val="111111"/>
          <w:lang w:val="es-ES" w:eastAsia="es-ES"/>
        </w:rPr>
        <w:t>xx</w:t>
      </w:r>
      <w:proofErr w:type="spellEnd"/>
      <w:r>
        <w:rPr>
          <w:rFonts w:asciiTheme="majorHAnsi" w:eastAsia="Times New Roman" w:hAnsiTheme="majorHAnsi" w:cstheme="minorHAnsi"/>
          <w:color w:val="111111"/>
          <w:lang w:val="es-ES" w:eastAsia="es-ES"/>
        </w:rPr>
        <w:t xml:space="preserve"> pp. ISBN: </w:t>
      </w:r>
      <w:proofErr w:type="spellStart"/>
      <w:r>
        <w:rPr>
          <w:rFonts w:asciiTheme="majorHAnsi" w:eastAsia="Times New Roman" w:hAnsiTheme="majorHAnsi" w:cstheme="minorHAnsi"/>
          <w:color w:val="111111"/>
          <w:lang w:val="es-ES" w:eastAsia="es-ES"/>
        </w:rPr>
        <w:t>xxxxxxxx</w:t>
      </w:r>
      <w:proofErr w:type="spellEnd"/>
      <w:r>
        <w:rPr>
          <w:rFonts w:asciiTheme="majorHAnsi" w:eastAsia="Times New Roman" w:hAnsiTheme="majorHAnsi" w:cstheme="minorHAnsi"/>
          <w:color w:val="111111"/>
          <w:lang w:val="es-ES" w:eastAsia="es-ES"/>
        </w:rPr>
        <w:t>.</w:t>
      </w:r>
    </w:p>
    <w:p w14:paraId="6B010B6B" w14:textId="77777777" w:rsidR="003D1528" w:rsidRDefault="003D1528">
      <w:pPr>
        <w:pStyle w:val="Prrafodelista"/>
        <w:spacing w:after="0" w:line="240" w:lineRule="auto"/>
        <w:rPr>
          <w:rFonts w:ascii="Times New Roman" w:eastAsia="Times New Roman" w:hAnsi="Times New Roman" w:cs="Times New Roman"/>
          <w:lang w:eastAsia="es-ES_tradnl"/>
        </w:rPr>
      </w:pPr>
    </w:p>
    <w:p w14:paraId="2220084D" w14:textId="77777777" w:rsidR="003D1528" w:rsidRDefault="003D1528">
      <w:pPr>
        <w:spacing w:before="120" w:after="120" w:line="240" w:lineRule="auto"/>
        <w:jc w:val="center"/>
        <w:outlineLvl w:val="0"/>
        <w:rPr>
          <w:rFonts w:ascii="Calibri" w:eastAsia="MS Mincho" w:hAnsi="Calibri" w:cs="Times New Roman"/>
          <w:b/>
          <w:bCs/>
          <w:smallCaps/>
          <w:color w:val="000000"/>
          <w:sz w:val="32"/>
          <w:szCs w:val="32"/>
          <w:lang w:val="es-ES_tradnl" w:eastAsia="de-DE"/>
        </w:rPr>
      </w:pPr>
    </w:p>
    <w:p w14:paraId="41EB3256" w14:textId="77777777" w:rsidR="003D1528" w:rsidRDefault="00000000">
      <w:pPr>
        <w:rPr>
          <w:rFonts w:ascii="Calibri" w:eastAsia="MS Mincho" w:hAnsi="Calibri" w:cs="Times New Roman"/>
          <w:b/>
          <w:bCs/>
          <w:smallCaps/>
          <w:color w:val="000000"/>
          <w:sz w:val="32"/>
          <w:szCs w:val="32"/>
          <w:lang w:val="es-ES_tradnl" w:eastAsia="de-DE"/>
        </w:rPr>
      </w:pPr>
      <w:r>
        <w:br w:type="page"/>
      </w:r>
    </w:p>
    <w:p w14:paraId="76F6E834" w14:textId="77777777" w:rsidR="003D1528" w:rsidRDefault="003D1528">
      <w:pPr>
        <w:spacing w:before="120" w:after="120" w:line="240" w:lineRule="auto"/>
        <w:jc w:val="center"/>
        <w:outlineLvl w:val="0"/>
        <w:rPr>
          <w:rFonts w:ascii="Calibri" w:eastAsia="MS Mincho" w:hAnsi="Calibri" w:cs="Times New Roman"/>
          <w:b/>
          <w:bCs/>
          <w:smallCaps/>
          <w:color w:val="000000"/>
          <w:sz w:val="32"/>
          <w:szCs w:val="32"/>
          <w:lang w:val="es-ES_tradnl" w:eastAsia="de-DE"/>
        </w:rPr>
      </w:pPr>
    </w:p>
    <w:p w14:paraId="7937005C" w14:textId="77777777" w:rsidR="003D1528" w:rsidRDefault="00000000">
      <w:pPr>
        <w:spacing w:before="120" w:after="120" w:line="240" w:lineRule="auto"/>
        <w:jc w:val="center"/>
        <w:outlineLvl w:val="0"/>
        <w:rPr>
          <w:rFonts w:ascii="Calibri" w:eastAsia="MS Mincho" w:hAnsi="Calibri" w:cs="Times New Roman"/>
          <w:b/>
          <w:bCs/>
          <w:smallCaps/>
          <w:color w:val="000000"/>
          <w:sz w:val="32"/>
          <w:szCs w:val="32"/>
          <w:lang w:val="es-ES_tradnl" w:eastAsia="de-DE"/>
        </w:rPr>
      </w:pPr>
      <w:r>
        <w:rPr>
          <w:rFonts w:eastAsia="MS Mincho" w:cs="Times New Roman"/>
          <w:b/>
          <w:bCs/>
          <w:smallCaps/>
          <w:color w:val="000000"/>
          <w:sz w:val="32"/>
          <w:szCs w:val="32"/>
          <w:lang w:val="es-ES_tradnl" w:eastAsia="de-DE"/>
        </w:rPr>
        <w:t>RESEÑA</w:t>
      </w:r>
    </w:p>
    <w:p w14:paraId="4E15B1CC" w14:textId="77777777" w:rsidR="003D1528" w:rsidRDefault="00000000">
      <w:pPr>
        <w:spacing w:before="120" w:after="120" w:line="240" w:lineRule="auto"/>
        <w:jc w:val="center"/>
        <w:outlineLvl w:val="0"/>
        <w:rPr>
          <w:rFonts w:ascii="Calibri" w:eastAsia="MS Mincho" w:hAnsi="Calibri" w:cs="Times New Roman"/>
          <w:smallCaps/>
          <w:color w:val="000000"/>
          <w:sz w:val="24"/>
          <w:szCs w:val="24"/>
          <w:lang w:eastAsia="de-DE"/>
        </w:rPr>
      </w:pPr>
      <w:r>
        <w:rPr>
          <w:rFonts w:eastAsia="MS Mincho" w:cs="Times New Roman"/>
          <w:smallCaps/>
          <w:color w:val="000000"/>
          <w:sz w:val="24"/>
          <w:szCs w:val="24"/>
          <w:lang w:eastAsia="de-DE"/>
        </w:rPr>
        <w:t xml:space="preserve">Autor </w:t>
      </w:r>
    </w:p>
    <w:p w14:paraId="3152BA00" w14:textId="77777777" w:rsidR="003D1528" w:rsidRDefault="00000000">
      <w:pPr>
        <w:spacing w:before="120" w:after="120" w:line="240" w:lineRule="auto"/>
        <w:jc w:val="center"/>
        <w:outlineLvl w:val="0"/>
        <w:rPr>
          <w:rFonts w:ascii="Calibri" w:eastAsia="MS Mincho" w:hAnsi="Calibri" w:cs="Times New Roman"/>
          <w:color w:val="000000"/>
          <w:lang w:val="es-ES_tradnl" w:eastAsia="de-DE"/>
        </w:rPr>
      </w:pPr>
      <w:r>
        <w:rPr>
          <w:rFonts w:eastAsia="MS Mincho" w:cs="Times New Roman"/>
          <w:color w:val="000000"/>
          <w:lang w:val="es-ES_tradnl" w:eastAsia="de-DE"/>
        </w:rPr>
        <w:t>Afiliación universitaria, País</w:t>
      </w:r>
    </w:p>
    <w:p w14:paraId="4DB65223" w14:textId="77777777" w:rsidR="003D1528" w:rsidRDefault="003D1528">
      <w:pPr>
        <w:spacing w:before="120" w:after="120" w:line="240" w:lineRule="auto"/>
        <w:jc w:val="center"/>
        <w:outlineLvl w:val="0"/>
        <w:rPr>
          <w:rFonts w:ascii="Calibri" w:eastAsia="MS Mincho" w:hAnsi="Calibri" w:cs="Times New Roman"/>
          <w:b/>
          <w:bCs/>
          <w:smallCaps/>
          <w:color w:val="000000"/>
          <w:sz w:val="32"/>
          <w:szCs w:val="32"/>
          <w:lang w:val="es-ES_tradnl" w:eastAsia="de-DE"/>
        </w:rPr>
      </w:pPr>
    </w:p>
    <w:p w14:paraId="6679F522" w14:textId="77777777" w:rsidR="003D1528" w:rsidRDefault="00000000">
      <w:pPr>
        <w:jc w:val="center"/>
        <w:rPr>
          <w:rFonts w:ascii="Calibri" w:eastAsia="Times New Roman" w:hAnsi="Calibri" w:cs="Times New Roman"/>
          <w:color w:val="000000"/>
          <w:szCs w:val="20"/>
          <w:lang w:eastAsia="de-DE"/>
        </w:rPr>
      </w:pPr>
      <w:r>
        <w:rPr>
          <w:rFonts w:eastAsia="Times New Roman" w:cs="Times New Roman"/>
          <w:color w:val="000000"/>
          <w:szCs w:val="20"/>
          <w:lang w:eastAsia="de-DE"/>
        </w:rPr>
        <w:t>Datos de la obra reseñada</w:t>
      </w:r>
    </w:p>
    <w:p w14:paraId="6FBE132F" w14:textId="77777777" w:rsidR="003D1528" w:rsidRDefault="003D1528">
      <w:pPr>
        <w:pStyle w:val="PaperTitle"/>
        <w:tabs>
          <w:tab w:val="left" w:pos="2977"/>
        </w:tabs>
        <w:spacing w:before="120" w:after="120"/>
        <w:jc w:val="center"/>
        <w:outlineLvl w:val="0"/>
        <w:rPr>
          <w:sz w:val="22"/>
          <w:szCs w:val="22"/>
          <w:lang w:val="es-ES"/>
        </w:rPr>
      </w:pPr>
    </w:p>
    <w:p w14:paraId="69F2D940" w14:textId="77777777" w:rsidR="003D1528" w:rsidRDefault="00000000">
      <w:pPr>
        <w:pStyle w:val="FirstParaofSectionTextStyle"/>
        <w:rPr>
          <w:rStyle w:val="FirstParaofSectionTextStyleChar"/>
          <w:rFonts w:asciiTheme="majorHAnsi" w:hAnsiTheme="majorHAnsi"/>
          <w:sz w:val="22"/>
          <w:szCs w:val="22"/>
          <w:lang w:val="es-ES"/>
        </w:rPr>
      </w:pPr>
      <w:r>
        <w:rPr>
          <w:rFonts w:asciiTheme="majorHAnsi" w:hAnsiTheme="majorHAnsi"/>
          <w:szCs w:val="22"/>
          <w:lang w:val="es-ES"/>
        </w:rPr>
        <w:t>E</w:t>
      </w:r>
      <w:r>
        <w:rPr>
          <w:rFonts w:asciiTheme="majorHAnsi" w:hAnsiTheme="majorHAnsi"/>
          <w:sz w:val="22"/>
          <w:szCs w:val="22"/>
          <w:lang w:val="es-ES"/>
        </w:rPr>
        <w:t>ste es el primer párrafo</w:t>
      </w:r>
      <w:r>
        <w:rPr>
          <w:rStyle w:val="FirstParaofSectionTextStyleChar"/>
          <w:rFonts w:asciiTheme="majorHAnsi" w:hAnsiTheme="majorHAnsi"/>
          <w:sz w:val="22"/>
          <w:szCs w:val="22"/>
          <w:lang w:val="es-ES"/>
        </w:rPr>
        <w:t>. Por favor use Cambria 11. El párrafo de arranque no tiene sangría</w:t>
      </w:r>
      <w:r>
        <w:rPr>
          <w:rFonts w:asciiTheme="majorHAnsi" w:hAnsiTheme="majorHAnsi"/>
          <w:sz w:val="22"/>
          <w:szCs w:val="22"/>
          <w:lang w:val="es-ES"/>
        </w:rPr>
        <w:t>.</w:t>
      </w:r>
    </w:p>
    <w:p w14:paraId="24854ABD" w14:textId="77777777" w:rsidR="003D1528" w:rsidRDefault="00000000">
      <w:pPr>
        <w:spacing w:after="0" w:line="240" w:lineRule="auto"/>
        <w:ind w:firstLine="284"/>
        <w:jc w:val="both"/>
        <w:rPr>
          <w:rFonts w:asciiTheme="majorHAnsi" w:hAnsiTheme="majorHAnsi"/>
        </w:rPr>
      </w:pPr>
      <w:r>
        <w:rPr>
          <w:rFonts w:asciiTheme="majorHAnsi" w:hAnsiTheme="majorHAnsi"/>
        </w:rPr>
        <w:t xml:space="preserve">Los </w:t>
      </w:r>
      <w:proofErr w:type="gramStart"/>
      <w:r>
        <w:rPr>
          <w:rFonts w:asciiTheme="majorHAnsi" w:hAnsiTheme="majorHAnsi"/>
        </w:rPr>
        <w:t>párrafos segundo</w:t>
      </w:r>
      <w:proofErr w:type="gramEnd"/>
      <w:r>
        <w:rPr>
          <w:rFonts w:asciiTheme="majorHAnsi" w:hAnsiTheme="majorHAnsi"/>
        </w:rPr>
        <w:t xml:space="preserve"> y siguientes deben tener una sangría de primera línea de 0,5. El texto debe tener interlineado sencillo, y los espacios entre párrafos solo deben existir cuando se usan las citas en párrafo aparte.</w:t>
      </w:r>
    </w:p>
    <w:p w14:paraId="2890EA03" w14:textId="77777777" w:rsidR="003D1528" w:rsidRDefault="00000000">
      <w:pPr>
        <w:spacing w:after="0" w:line="240" w:lineRule="auto"/>
        <w:ind w:firstLine="284"/>
        <w:jc w:val="both"/>
        <w:rPr>
          <w:rFonts w:asciiTheme="majorHAnsi" w:hAnsiTheme="majorHAnsi"/>
        </w:rPr>
      </w:pPr>
      <w:r>
        <w:rPr>
          <w:rFonts w:asciiTheme="majorHAnsi" w:hAnsiTheme="majorHAnsi"/>
        </w:rPr>
        <w:t xml:space="preserve">Los </w:t>
      </w:r>
      <w:proofErr w:type="gramStart"/>
      <w:r>
        <w:rPr>
          <w:rFonts w:asciiTheme="majorHAnsi" w:hAnsiTheme="majorHAnsi"/>
        </w:rPr>
        <w:t>párrafos segundo</w:t>
      </w:r>
      <w:proofErr w:type="gramEnd"/>
      <w:r>
        <w:rPr>
          <w:rFonts w:asciiTheme="majorHAnsi" w:hAnsiTheme="majorHAnsi"/>
        </w:rPr>
        <w:t xml:space="preserve"> y siguientes deben tener una sangría de primera línea de 0,5. El texto debe tener interlineado sencillo, y los espacios entre párrafos solo deben existir cuando se usan las citas en párrafo aparte.</w:t>
      </w:r>
    </w:p>
    <w:p w14:paraId="5A6E3527" w14:textId="77777777" w:rsidR="003D1528" w:rsidRDefault="00000000">
      <w:pPr>
        <w:pStyle w:val="BlockQuote"/>
        <w:spacing w:after="0"/>
        <w:ind w:left="567"/>
        <w:rPr>
          <w:rFonts w:asciiTheme="majorHAnsi" w:hAnsiTheme="majorHAnsi"/>
          <w:sz w:val="22"/>
          <w:szCs w:val="22"/>
          <w:lang w:val="es-ES"/>
        </w:rPr>
      </w:pPr>
      <w:r>
        <w:rPr>
          <w:rFonts w:asciiTheme="majorHAnsi" w:hAnsiTheme="majorHAnsi"/>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w:t>
      </w:r>
      <w:proofErr w:type="spellStart"/>
      <w:r>
        <w:rPr>
          <w:rFonts w:asciiTheme="majorHAnsi" w:hAnsiTheme="majorHAnsi"/>
          <w:sz w:val="22"/>
          <w:szCs w:val="22"/>
          <w:lang w:val="es-ES"/>
        </w:rPr>
        <w:t>xx</w:t>
      </w:r>
      <w:proofErr w:type="spellEnd"/>
      <w:r>
        <w:rPr>
          <w:rFonts w:asciiTheme="majorHAnsi" w:hAnsiTheme="majorHAnsi"/>
          <w:sz w:val="22"/>
          <w:szCs w:val="22"/>
          <w:lang w:val="es-ES"/>
        </w:rPr>
        <w:t xml:space="preserve">) </w:t>
      </w:r>
    </w:p>
    <w:p w14:paraId="50F9FE9F" w14:textId="77777777" w:rsidR="003D1528" w:rsidRDefault="003D1528">
      <w:pPr>
        <w:spacing w:after="0" w:line="240" w:lineRule="auto"/>
        <w:ind w:firstLine="284"/>
        <w:jc w:val="both"/>
        <w:rPr>
          <w:sz w:val="24"/>
        </w:rPr>
      </w:pPr>
    </w:p>
    <w:p w14:paraId="21A9F15B" w14:textId="77777777" w:rsidR="003D1528" w:rsidRDefault="003D1528">
      <w:pPr>
        <w:pStyle w:val="SubsequentParagraphsTextStyle"/>
        <w:ind w:firstLine="284"/>
        <w:jc w:val="both"/>
        <w:rPr>
          <w:rFonts w:asciiTheme="minorHAnsi" w:hAnsiTheme="minorHAnsi"/>
          <w:sz w:val="22"/>
          <w:szCs w:val="22"/>
          <w:lang w:val="es-ES"/>
        </w:rPr>
      </w:pPr>
    </w:p>
    <w:p w14:paraId="0F9CF080" w14:textId="77777777" w:rsidR="003D1528" w:rsidRDefault="00000000">
      <w:pPr>
        <w:pStyle w:val="SectionHeadings"/>
        <w:rPr>
          <w:rFonts w:asciiTheme="majorHAnsi" w:hAnsiTheme="majorHAnsi"/>
          <w:sz w:val="26"/>
          <w:szCs w:val="26"/>
          <w:lang w:val="es-ES"/>
        </w:rPr>
      </w:pPr>
      <w:r>
        <w:rPr>
          <w:rFonts w:asciiTheme="majorHAnsi" w:hAnsiTheme="majorHAnsi"/>
          <w:sz w:val="26"/>
          <w:szCs w:val="26"/>
          <w:lang w:val="es-ES"/>
        </w:rPr>
        <w:t>Referencias</w:t>
      </w:r>
    </w:p>
    <w:p w14:paraId="12C31A12" w14:textId="77777777" w:rsidR="003D1528" w:rsidRDefault="00000000">
      <w:pPr>
        <w:pStyle w:val="SubsequentParagraphsTextStyle"/>
        <w:ind w:firstLine="0"/>
        <w:jc w:val="both"/>
        <w:rPr>
          <w:rFonts w:asciiTheme="majorHAnsi" w:hAnsiTheme="majorHAnsi"/>
          <w:sz w:val="22"/>
          <w:szCs w:val="22"/>
          <w:lang w:val="es-ES"/>
        </w:rPr>
      </w:pPr>
      <w:r>
        <w:rPr>
          <w:rFonts w:asciiTheme="majorHAnsi" w:hAnsiTheme="majorHAnsi"/>
          <w:sz w:val="22"/>
          <w:szCs w:val="22"/>
          <w:lang w:val="es-ES"/>
        </w:rPr>
        <w:t>La lista completa de referencias (Norma APA 7ª) debe aparecer al final del artículo en Cambria 11, interlineado simple, sin línea en blanco entre autores y con sangría francesa. Cuando sea posible, incluya el DOI de cada artículo e indique la URL si cita un trabajo en acceso abierto. Se recomienda acortar la URL en el caso de que ésta ocupe más de una línea. Ejemplos:</w:t>
      </w:r>
    </w:p>
    <w:p w14:paraId="61CBE786" w14:textId="77777777" w:rsidR="003D1528" w:rsidRDefault="003D1528">
      <w:pPr>
        <w:pStyle w:val="ReferncesText"/>
        <w:rPr>
          <w:rFonts w:asciiTheme="majorHAnsi" w:hAnsiTheme="majorHAnsi"/>
          <w:szCs w:val="20"/>
          <w:lang w:val="es-ES"/>
        </w:rPr>
      </w:pPr>
    </w:p>
    <w:p w14:paraId="667DE85A" w14:textId="77777777" w:rsidR="003D1528" w:rsidRDefault="00000000">
      <w:pPr>
        <w:spacing w:after="0" w:line="240" w:lineRule="auto"/>
        <w:ind w:left="720" w:hanging="720"/>
        <w:rPr>
          <w:rFonts w:ascii="Cambria" w:eastAsia="Times New Roman" w:hAnsi="Cambria" w:cs="Times New Roman"/>
          <w:szCs w:val="24"/>
          <w:lang w:val="en-US" w:eastAsia="es-ES_tradnl"/>
        </w:rPr>
      </w:pPr>
      <w:proofErr w:type="spellStart"/>
      <w:r>
        <w:rPr>
          <w:rFonts w:ascii="Cambria" w:eastAsia="Times New Roman" w:hAnsi="Cambria" w:cs="Times New Roman"/>
          <w:szCs w:val="24"/>
          <w:lang w:eastAsia="es-ES_tradnl"/>
        </w:rPr>
        <w:t>Asiri</w:t>
      </w:r>
      <w:proofErr w:type="spellEnd"/>
      <w:r>
        <w:rPr>
          <w:rFonts w:ascii="Cambria" w:eastAsia="Times New Roman" w:hAnsi="Cambria" w:cs="Times New Roman"/>
          <w:szCs w:val="24"/>
          <w:lang w:eastAsia="es-ES_tradnl"/>
        </w:rPr>
        <w:t xml:space="preserve">, A., </w:t>
      </w:r>
      <w:proofErr w:type="spellStart"/>
      <w:r>
        <w:rPr>
          <w:rFonts w:ascii="Cambria" w:eastAsia="Times New Roman" w:hAnsi="Cambria" w:cs="Times New Roman"/>
          <w:szCs w:val="24"/>
          <w:lang w:eastAsia="es-ES_tradnl"/>
        </w:rPr>
        <w:t>Panday-Shukla</w:t>
      </w:r>
      <w:proofErr w:type="spellEnd"/>
      <w:r>
        <w:rPr>
          <w:rFonts w:ascii="Cambria" w:eastAsia="Times New Roman" w:hAnsi="Cambria" w:cs="Times New Roman"/>
          <w:szCs w:val="24"/>
          <w:lang w:eastAsia="es-ES_tradnl"/>
        </w:rPr>
        <w:t xml:space="preserve">, P., </w:t>
      </w:r>
      <w:proofErr w:type="spellStart"/>
      <w:r>
        <w:rPr>
          <w:rFonts w:ascii="Cambria" w:eastAsia="Times New Roman" w:hAnsi="Cambria" w:cs="Times New Roman"/>
          <w:szCs w:val="24"/>
          <w:lang w:eastAsia="es-ES_tradnl"/>
        </w:rPr>
        <w:t>Rajeh</w:t>
      </w:r>
      <w:proofErr w:type="spellEnd"/>
      <w:r>
        <w:rPr>
          <w:rFonts w:ascii="Cambria" w:eastAsia="Times New Roman" w:hAnsi="Cambria" w:cs="Times New Roman"/>
          <w:szCs w:val="24"/>
          <w:lang w:eastAsia="es-ES_tradnl"/>
        </w:rPr>
        <w:t xml:space="preserve">, H. S., &amp; </w:t>
      </w:r>
      <w:proofErr w:type="spellStart"/>
      <w:r>
        <w:rPr>
          <w:rFonts w:ascii="Cambria" w:eastAsia="Times New Roman" w:hAnsi="Cambria" w:cs="Times New Roman"/>
          <w:szCs w:val="24"/>
          <w:lang w:eastAsia="es-ES_tradnl"/>
        </w:rPr>
        <w:t>Yu</w:t>
      </w:r>
      <w:proofErr w:type="spellEnd"/>
      <w:r>
        <w:rPr>
          <w:rFonts w:ascii="Cambria" w:eastAsia="Times New Roman" w:hAnsi="Cambria" w:cs="Times New Roman"/>
          <w:szCs w:val="24"/>
          <w:lang w:eastAsia="es-ES_tradnl"/>
        </w:rPr>
        <w:t xml:space="preserve">, Y. (2021). </w:t>
      </w:r>
      <w:r>
        <w:rPr>
          <w:rFonts w:ascii="Cambria" w:eastAsia="Times New Roman" w:hAnsi="Cambria" w:cs="Times New Roman"/>
          <w:szCs w:val="24"/>
          <w:lang w:val="en-US" w:eastAsia="es-ES_tradnl"/>
        </w:rPr>
        <w:t xml:space="preserve">Broadening perspectives on CALL teacher education: From </w:t>
      </w:r>
      <w:proofErr w:type="spellStart"/>
      <w:r>
        <w:rPr>
          <w:rFonts w:ascii="Cambria" w:eastAsia="Times New Roman" w:hAnsi="Cambria" w:cs="Times New Roman"/>
          <w:szCs w:val="24"/>
          <w:lang w:val="en-US" w:eastAsia="es-ES_tradnl"/>
        </w:rPr>
        <w:t>technocentrism</w:t>
      </w:r>
      <w:proofErr w:type="spellEnd"/>
      <w:r>
        <w:rPr>
          <w:rFonts w:ascii="Cambria" w:eastAsia="Times New Roman" w:hAnsi="Cambria" w:cs="Times New Roman"/>
          <w:szCs w:val="24"/>
          <w:lang w:val="en-US" w:eastAsia="es-ES_tradnl"/>
        </w:rPr>
        <w:t xml:space="preserve"> to integration. </w:t>
      </w:r>
      <w:r>
        <w:rPr>
          <w:rFonts w:ascii="Cambria" w:eastAsia="Times New Roman" w:hAnsi="Cambria" w:cs="Times New Roman"/>
          <w:i/>
          <w:szCs w:val="24"/>
          <w:lang w:val="en-US" w:eastAsia="es-ES_tradnl"/>
        </w:rPr>
        <w:t>TESL-EJ, 24</w:t>
      </w:r>
      <w:r>
        <w:rPr>
          <w:rFonts w:ascii="Cambria" w:eastAsia="Times New Roman" w:hAnsi="Cambria" w:cs="Times New Roman"/>
          <w:szCs w:val="24"/>
          <w:lang w:val="en-US" w:eastAsia="es-ES_tradnl"/>
        </w:rPr>
        <w:t>(4).</w:t>
      </w:r>
    </w:p>
    <w:p w14:paraId="0747BB63" w14:textId="77777777" w:rsidR="003D1528" w:rsidRDefault="00000000">
      <w:pPr>
        <w:spacing w:after="0" w:line="240" w:lineRule="auto"/>
        <w:ind w:left="720" w:hanging="720"/>
        <w:rPr>
          <w:rFonts w:ascii="Cambria" w:eastAsia="Times New Roman" w:hAnsi="Cambria" w:cs="Times New Roman"/>
          <w:szCs w:val="24"/>
          <w:lang w:val="en-US" w:eastAsia="es-ES_tradnl"/>
        </w:rPr>
      </w:pPr>
      <w:r>
        <w:rPr>
          <w:rFonts w:ascii="Cambria" w:eastAsia="Times New Roman" w:hAnsi="Cambria" w:cs="Times New Roman"/>
          <w:szCs w:val="24"/>
          <w:lang w:val="en-GB" w:eastAsia="es-ES_tradnl"/>
        </w:rPr>
        <w:t xml:space="preserve">Cayton, C., Sherman, M., Walkington, C., &amp; Funsch, A. (2018). </w:t>
      </w:r>
      <w:r>
        <w:rPr>
          <w:rFonts w:ascii="Cambria" w:eastAsia="Times New Roman" w:hAnsi="Cambria" w:cs="Times New Roman"/>
          <w:szCs w:val="24"/>
          <w:lang w:val="en-US" w:eastAsia="es-ES_tradnl"/>
        </w:rPr>
        <w:t>Technology integration in secondary mathematics textbooks. </w:t>
      </w:r>
      <w:r>
        <w:rPr>
          <w:rFonts w:ascii="Cambria" w:eastAsia="Times New Roman" w:hAnsi="Cambria" w:cs="Times New Roman"/>
          <w:i/>
          <w:szCs w:val="24"/>
          <w:lang w:val="en-US" w:eastAsia="es-ES_tradnl"/>
        </w:rPr>
        <w:t>Conference Papers -- Psychology of Mathematics &amp; Education of North America</w:t>
      </w:r>
      <w:r>
        <w:rPr>
          <w:rFonts w:ascii="Cambria" w:eastAsia="Times New Roman" w:hAnsi="Cambria" w:cs="Times New Roman"/>
          <w:szCs w:val="24"/>
          <w:lang w:val="en-US" w:eastAsia="es-ES_tradnl"/>
        </w:rPr>
        <w:t>, 1235–1238.</w:t>
      </w:r>
    </w:p>
    <w:p w14:paraId="65EC6DA6" w14:textId="77777777" w:rsidR="003D1528" w:rsidRDefault="00000000">
      <w:pPr>
        <w:spacing w:after="0" w:line="240" w:lineRule="auto"/>
        <w:ind w:left="720" w:hanging="720"/>
        <w:rPr>
          <w:rFonts w:ascii="Cambria" w:eastAsia="Times New Roman" w:hAnsi="Cambria" w:cs="Times New Roman"/>
          <w:szCs w:val="24"/>
          <w:lang w:val="en-US"/>
        </w:rPr>
      </w:pPr>
      <w:r>
        <w:rPr>
          <w:rFonts w:ascii="Cambria" w:eastAsia="Times New Roman" w:hAnsi="Cambria" w:cs="Times New Roman"/>
          <w:szCs w:val="24"/>
          <w:lang w:val="en-US"/>
        </w:rPr>
        <w:t xml:space="preserve">Delamont, S. (Ed.). (2013). </w:t>
      </w:r>
      <w:r>
        <w:rPr>
          <w:rFonts w:ascii="Cambria" w:eastAsia="Times New Roman" w:hAnsi="Cambria" w:cs="Times New Roman"/>
          <w:i/>
          <w:iCs/>
          <w:szCs w:val="24"/>
          <w:lang w:val="en-US"/>
        </w:rPr>
        <w:t>Handbook of qualitative research in education.</w:t>
      </w:r>
      <w:r>
        <w:rPr>
          <w:rFonts w:ascii="Cambria" w:eastAsia="Times New Roman" w:hAnsi="Cambria" w:cs="Times New Roman"/>
          <w:szCs w:val="24"/>
          <w:lang w:val="en-US"/>
        </w:rPr>
        <w:t xml:space="preserve"> Cardiff University. </w:t>
      </w:r>
    </w:p>
    <w:p w14:paraId="3A376B59" w14:textId="77777777" w:rsidR="003D1528" w:rsidRDefault="00000000">
      <w:pPr>
        <w:spacing w:after="0" w:line="240" w:lineRule="auto"/>
        <w:ind w:left="720" w:hanging="720"/>
        <w:rPr>
          <w:rFonts w:ascii="Cambria" w:eastAsia="Times New Roman" w:hAnsi="Cambria" w:cs="Times New Roman"/>
          <w:szCs w:val="24"/>
          <w:lang w:val="en-US" w:eastAsia="es-ES_tradnl"/>
        </w:rPr>
      </w:pPr>
      <w:proofErr w:type="spellStart"/>
      <w:r>
        <w:rPr>
          <w:rFonts w:ascii="Cambria" w:eastAsia="Times New Roman" w:hAnsi="Cambria" w:cs="Times New Roman"/>
          <w:szCs w:val="24"/>
          <w:lang w:val="en-US" w:eastAsia="es-ES_tradnl"/>
        </w:rPr>
        <w:t>Deliveli</w:t>
      </w:r>
      <w:proofErr w:type="spellEnd"/>
      <w:r>
        <w:rPr>
          <w:rFonts w:ascii="Cambria" w:eastAsia="Times New Roman" w:hAnsi="Cambria" w:cs="Times New Roman"/>
          <w:szCs w:val="24"/>
          <w:lang w:val="en-US" w:eastAsia="es-ES_tradnl"/>
        </w:rPr>
        <w:t>, K. (2021). Application of sentence-based sound teaching method for first reading and writing in education. </w:t>
      </w:r>
      <w:r>
        <w:rPr>
          <w:rFonts w:ascii="Cambria" w:eastAsia="Times New Roman" w:hAnsi="Cambria" w:cs="Times New Roman"/>
          <w:i/>
          <w:szCs w:val="24"/>
          <w:lang w:val="en-US" w:eastAsia="es-ES_tradnl"/>
        </w:rPr>
        <w:t>Participatory Educational Research, 8</w:t>
      </w:r>
      <w:r>
        <w:rPr>
          <w:rFonts w:ascii="Cambria" w:eastAsia="Times New Roman" w:hAnsi="Cambria" w:cs="Times New Roman"/>
          <w:szCs w:val="24"/>
          <w:lang w:val="en-US" w:eastAsia="es-ES_tradnl"/>
        </w:rPr>
        <w:t>(2), 330–356.</w:t>
      </w:r>
    </w:p>
    <w:p w14:paraId="7B1DFA56" w14:textId="77777777" w:rsidR="003D1528" w:rsidRDefault="00000000">
      <w:pPr>
        <w:spacing w:after="0" w:line="240" w:lineRule="auto"/>
        <w:ind w:left="720" w:hanging="720"/>
        <w:rPr>
          <w:rFonts w:ascii="Cambria" w:eastAsia="Times New Roman" w:hAnsi="Cambria" w:cs="Times New Roman"/>
          <w:b/>
          <w:bCs/>
          <w:szCs w:val="24"/>
          <w:lang w:val="en-US" w:eastAsia="es-ES_tradnl"/>
        </w:rPr>
      </w:pPr>
      <w:r>
        <w:rPr>
          <w:rFonts w:ascii="Cambria" w:eastAsia="Times New Roman" w:hAnsi="Cambria" w:cs="Times New Roman"/>
          <w:szCs w:val="21"/>
          <w:shd w:val="clear" w:color="auto" w:fill="FFFFFF"/>
          <w:lang w:val="en-GB" w:eastAsia="es-ES_tradnl"/>
        </w:rPr>
        <w:t>Films Media Group. (2013). </w:t>
      </w:r>
      <w:r>
        <w:rPr>
          <w:rFonts w:ascii="Cambria" w:eastAsia="Times New Roman" w:hAnsi="Cambria" w:cs="Times New Roman"/>
          <w:i/>
          <w:iCs/>
          <w:szCs w:val="21"/>
          <w:shd w:val="clear" w:color="auto" w:fill="FFFFFF"/>
          <w:lang w:val="en-GB" w:eastAsia="es-ES_tradnl"/>
        </w:rPr>
        <w:t>Germany's education system: Dan Rather reports on global education systems</w:t>
      </w:r>
      <w:r>
        <w:rPr>
          <w:rFonts w:ascii="Cambria" w:eastAsia="Times New Roman" w:hAnsi="Cambria" w:cs="Times New Roman"/>
          <w:szCs w:val="21"/>
          <w:shd w:val="clear" w:color="auto" w:fill="FFFFFF"/>
          <w:lang w:val="en-GB" w:eastAsia="es-ES_tradnl"/>
        </w:rPr>
        <w:t>. </w:t>
      </w:r>
      <w:r>
        <w:rPr>
          <w:rFonts w:ascii="Cambria" w:eastAsia="Times New Roman" w:hAnsi="Cambria" w:cs="Times New Roman"/>
          <w:i/>
          <w:iCs/>
          <w:szCs w:val="21"/>
          <w:shd w:val="clear" w:color="auto" w:fill="FFFFFF"/>
          <w:lang w:val="en-GB" w:eastAsia="es-ES_tradnl"/>
        </w:rPr>
        <w:t>Films On Demand</w:t>
      </w:r>
      <w:r>
        <w:rPr>
          <w:rFonts w:ascii="Cambria" w:eastAsia="Times New Roman" w:hAnsi="Cambria" w:cs="Times New Roman"/>
          <w:szCs w:val="21"/>
          <w:shd w:val="clear" w:color="auto" w:fill="FFFFFF"/>
          <w:lang w:val="en-GB" w:eastAsia="es-ES_tradnl"/>
        </w:rPr>
        <w:t>. https://fod.infobase.com/PortalPlaylists.aspx?wID=97665&amp;xtid=114473.</w:t>
      </w:r>
    </w:p>
    <w:p w14:paraId="4819C09C" w14:textId="77777777" w:rsidR="003D1528" w:rsidRDefault="00000000">
      <w:pPr>
        <w:spacing w:after="0" w:line="240" w:lineRule="auto"/>
        <w:ind w:left="720" w:hanging="720"/>
        <w:rPr>
          <w:rFonts w:ascii="Cambria" w:eastAsia="Times New Roman" w:hAnsi="Cambria" w:cs="Times New Roman"/>
          <w:szCs w:val="24"/>
          <w:lang w:val="en-US" w:eastAsia="es-ES_tradnl"/>
        </w:rPr>
      </w:pPr>
      <w:r>
        <w:rPr>
          <w:rFonts w:ascii="Cambria" w:eastAsia="Times New Roman" w:hAnsi="Cambria" w:cs="Times New Roman"/>
          <w:szCs w:val="24"/>
          <w:lang w:val="en-US" w:eastAsia="es-ES_tradnl"/>
        </w:rPr>
        <w:t>Gillen, J. (2021). Learning to connect: relationships, race, and teacher education. </w:t>
      </w:r>
      <w:r>
        <w:rPr>
          <w:rFonts w:ascii="Cambria" w:eastAsia="Times New Roman" w:hAnsi="Cambria" w:cs="Times New Roman"/>
          <w:i/>
          <w:szCs w:val="24"/>
          <w:lang w:val="en-US" w:eastAsia="es-ES_tradnl"/>
        </w:rPr>
        <w:t>Radical Teacher, 119</w:t>
      </w:r>
      <w:r>
        <w:rPr>
          <w:rFonts w:ascii="Cambria" w:eastAsia="Times New Roman" w:hAnsi="Cambria" w:cs="Times New Roman"/>
          <w:szCs w:val="24"/>
          <w:lang w:val="en-US" w:eastAsia="es-ES_tradnl"/>
        </w:rPr>
        <w:t>, 85–87. https://doi.org/10.5195/rt.2021.902</w:t>
      </w:r>
    </w:p>
    <w:p w14:paraId="1EFEF4D2" w14:textId="77777777" w:rsidR="003D1528" w:rsidRDefault="00000000">
      <w:pPr>
        <w:spacing w:after="0" w:line="240" w:lineRule="auto"/>
        <w:ind w:left="720" w:hanging="720"/>
        <w:rPr>
          <w:rFonts w:ascii="Cambria" w:eastAsia="Times New Roman" w:hAnsi="Cambria" w:cs="Times New Roman"/>
          <w:szCs w:val="24"/>
          <w:lang w:val="en-US"/>
        </w:rPr>
      </w:pPr>
      <w:r>
        <w:rPr>
          <w:rFonts w:ascii="Cambria" w:eastAsia="Times New Roman" w:hAnsi="Cambria" w:cs="Times New Roman"/>
          <w:shd w:val="clear" w:color="auto" w:fill="FFFFFF"/>
          <w:lang w:val="en-GB" w:eastAsia="es-ES_tradnl"/>
        </w:rPr>
        <w:t>Hanna, J. M. (2015). </w:t>
      </w:r>
      <w:r>
        <w:rPr>
          <w:rFonts w:ascii="Cambria" w:eastAsia="Times New Roman" w:hAnsi="Cambria" w:cs="Times New Roman"/>
          <w:i/>
          <w:iCs/>
          <w:shd w:val="clear" w:color="auto" w:fill="FFFFFF"/>
          <w:lang w:val="en-GB" w:eastAsia="es-ES_tradnl"/>
        </w:rPr>
        <w:t>The quality of education leadership doctoral dissertations in the United States: An empirical review </w:t>
      </w:r>
      <w:r>
        <w:rPr>
          <w:rFonts w:ascii="Cambria" w:eastAsia="Times New Roman" w:hAnsi="Cambria" w:cs="Times New Roman"/>
          <w:shd w:val="clear" w:color="auto" w:fill="FFFFFF"/>
          <w:lang w:val="en-GB" w:eastAsia="es-ES_tradnl"/>
        </w:rPr>
        <w:t xml:space="preserve">(Order No. 3742189). Education Collection; Education Database. (1752116829). </w:t>
      </w:r>
      <w:hyperlink r:id="rId7">
        <w:r>
          <w:rPr>
            <w:rStyle w:val="Hipervnculo"/>
            <w:rFonts w:ascii="Cambria" w:eastAsia="Times New Roman" w:hAnsi="Cambria" w:cs="Times New Roman"/>
            <w:shd w:val="clear" w:color="auto" w:fill="FFFFFF"/>
            <w:lang w:val="en-GB" w:eastAsia="es-ES_tradnl"/>
          </w:rPr>
          <w:t>https://ezproxy.roosevelt.edu:2048/login?url=https://www.proquest.com/dissertations-theses/quality-education-leadership-doctoral/docview/1752116829/se-2?accountid=28518</w:t>
        </w:r>
      </w:hyperlink>
    </w:p>
    <w:p w14:paraId="3602CF17" w14:textId="77777777" w:rsidR="003D1528" w:rsidRDefault="00000000">
      <w:pPr>
        <w:spacing w:after="0" w:line="240" w:lineRule="auto"/>
        <w:ind w:left="720" w:hanging="720"/>
        <w:rPr>
          <w:rFonts w:ascii="Cambria" w:eastAsia="Times New Roman" w:hAnsi="Cambria" w:cs="Times New Roman"/>
          <w:szCs w:val="24"/>
          <w:lang w:val="en-US" w:eastAsia="es-ES_tradnl"/>
        </w:rPr>
      </w:pPr>
      <w:r>
        <w:rPr>
          <w:rFonts w:ascii="Cambria" w:eastAsia="Times New Roman" w:hAnsi="Cambria" w:cs="Times New Roman"/>
          <w:szCs w:val="24"/>
          <w:lang w:val="en-US" w:eastAsia="es-ES_tradnl"/>
        </w:rPr>
        <w:t>Hobbs, T. D. (2021, May 13). Cheating at school is easier than ever—and It’s rampant. </w:t>
      </w:r>
      <w:r>
        <w:rPr>
          <w:rFonts w:ascii="Cambria" w:eastAsia="Times New Roman" w:hAnsi="Cambria" w:cs="Times New Roman"/>
          <w:i/>
          <w:szCs w:val="24"/>
          <w:lang w:val="en-US" w:eastAsia="es-ES_tradnl"/>
        </w:rPr>
        <w:t>Wall Street Journal (Online)</w:t>
      </w:r>
      <w:r>
        <w:rPr>
          <w:rFonts w:ascii="Cambria" w:eastAsia="Times New Roman" w:hAnsi="Cambria" w:cs="Times New Roman"/>
          <w:szCs w:val="24"/>
          <w:lang w:val="en-US" w:eastAsia="es-ES_tradnl"/>
        </w:rPr>
        <w:t xml:space="preserve">. </w:t>
      </w:r>
      <w:r>
        <w:rPr>
          <w:rFonts w:ascii="Cambria" w:eastAsia="Times New Roman" w:hAnsi="Cambria" w:cs="Times New Roman"/>
          <w:szCs w:val="24"/>
          <w:lang w:val="en-US" w:eastAsia="es-ES_tradnl"/>
        </w:rPr>
        <w:lastRenderedPageBreak/>
        <w:t>https://search.ebscohost.com/login.aspx?direct=true&amp;db=a9h&amp;AN=150290106&amp;authtype=sso&amp;custid=cls58&amp;site=ehost-live&amp;scope=site.</w:t>
      </w:r>
    </w:p>
    <w:p w14:paraId="24CF850A" w14:textId="77777777" w:rsidR="003D1528" w:rsidRDefault="00000000">
      <w:pPr>
        <w:spacing w:after="0" w:line="240" w:lineRule="auto"/>
        <w:ind w:left="720" w:hanging="720"/>
        <w:rPr>
          <w:rFonts w:ascii="Cambria" w:eastAsia="Times New Roman" w:hAnsi="Cambria" w:cs="Times New Roman"/>
          <w:szCs w:val="24"/>
          <w:lang w:val="en-US"/>
        </w:rPr>
      </w:pPr>
      <w:r>
        <w:rPr>
          <w:rFonts w:ascii="Cambria" w:eastAsia="Times New Roman" w:hAnsi="Cambria" w:cs="Times New Roman"/>
          <w:szCs w:val="24"/>
          <w:lang w:val="en-US"/>
        </w:rPr>
        <w:t xml:space="preserve">Jefferson, B. (2020). Education and school reform. In A. C. Washington &amp; B. D. Brady (Eds.), </w:t>
      </w:r>
      <w:r>
        <w:rPr>
          <w:rFonts w:ascii="Cambria" w:eastAsia="Times New Roman" w:hAnsi="Cambria" w:cs="Times New Roman"/>
          <w:i/>
          <w:szCs w:val="24"/>
          <w:lang w:val="en-US"/>
        </w:rPr>
        <w:t xml:space="preserve">The comprehensive history of educational practice </w:t>
      </w:r>
      <w:r>
        <w:rPr>
          <w:rFonts w:ascii="Cambria" w:eastAsia="Times New Roman" w:hAnsi="Cambria" w:cs="Times New Roman"/>
          <w:szCs w:val="24"/>
          <w:lang w:val="en-US"/>
        </w:rPr>
        <w:t xml:space="preserve">(pp. 258-325). </w:t>
      </w:r>
      <w:proofErr w:type="spellStart"/>
      <w:r>
        <w:rPr>
          <w:rFonts w:ascii="Cambria" w:eastAsia="Times New Roman" w:hAnsi="Cambria" w:cs="Times New Roman"/>
          <w:szCs w:val="24"/>
          <w:lang w:val="en-US"/>
        </w:rPr>
        <w:t>Highcourt</w:t>
      </w:r>
      <w:proofErr w:type="spellEnd"/>
      <w:r>
        <w:rPr>
          <w:rFonts w:ascii="Cambria" w:eastAsia="Times New Roman" w:hAnsi="Cambria" w:cs="Times New Roman"/>
          <w:szCs w:val="24"/>
          <w:lang w:val="en-US"/>
        </w:rPr>
        <w:t xml:space="preserve"> Publishing.</w:t>
      </w:r>
    </w:p>
    <w:p w14:paraId="482FA8C0" w14:textId="77777777" w:rsidR="003D1528" w:rsidRDefault="00000000">
      <w:pPr>
        <w:spacing w:after="0" w:line="240" w:lineRule="auto"/>
        <w:ind w:left="720" w:hanging="720"/>
        <w:rPr>
          <w:rFonts w:ascii="Cambria" w:eastAsia="Times New Roman" w:hAnsi="Cambria" w:cs="Times New Roman"/>
          <w:szCs w:val="24"/>
          <w:lang w:val="en-GB" w:eastAsia="es-ES_tradnl"/>
        </w:rPr>
      </w:pPr>
      <w:r>
        <w:rPr>
          <w:rFonts w:ascii="Cambria" w:eastAsia="Times New Roman" w:hAnsi="Cambria" w:cs="Times New Roman"/>
          <w:szCs w:val="24"/>
          <w:lang w:val="en-GB" w:eastAsia="es-ES_tradnl"/>
        </w:rPr>
        <w:t>Ladson-Billings, G. (2018). The social funding of race: The role of schooling. </w:t>
      </w:r>
      <w:r>
        <w:rPr>
          <w:rFonts w:ascii="Cambria" w:eastAsia="Times New Roman" w:hAnsi="Cambria" w:cs="Times New Roman"/>
          <w:i/>
          <w:szCs w:val="24"/>
          <w:lang w:val="en-GB" w:eastAsia="es-ES_tradnl"/>
        </w:rPr>
        <w:t>Peabody Journal of Education, 93</w:t>
      </w:r>
      <w:r>
        <w:rPr>
          <w:rFonts w:ascii="Cambria" w:eastAsia="Times New Roman" w:hAnsi="Cambria" w:cs="Times New Roman"/>
          <w:szCs w:val="24"/>
          <w:lang w:val="en-GB" w:eastAsia="es-ES_tradnl"/>
        </w:rPr>
        <w:t>(1), 90–105.</w:t>
      </w:r>
    </w:p>
    <w:p w14:paraId="6769989A" w14:textId="77777777" w:rsidR="003D1528" w:rsidRDefault="00000000">
      <w:pPr>
        <w:spacing w:after="0" w:line="240" w:lineRule="auto"/>
        <w:ind w:left="720" w:hanging="720"/>
        <w:rPr>
          <w:rFonts w:ascii="Cambria" w:eastAsia="Times New Roman" w:hAnsi="Cambria" w:cs="Times New Roman"/>
          <w:szCs w:val="24"/>
          <w:lang w:val="en-US" w:eastAsia="es-ES_tradnl"/>
        </w:rPr>
      </w:pPr>
      <w:r>
        <w:rPr>
          <w:rFonts w:ascii="Cambria" w:eastAsia="Times New Roman" w:hAnsi="Cambria" w:cs="Times New Roman"/>
          <w:szCs w:val="24"/>
          <w:lang w:val="en-US" w:eastAsia="es-ES_tradnl"/>
        </w:rPr>
        <w:t>Ladson-Billings, G. (2021). Three decades of culturally relevant, responsive, &amp; sustaining pedagogy: What lies ahead? </w:t>
      </w:r>
      <w:r>
        <w:rPr>
          <w:rFonts w:ascii="Cambria" w:eastAsia="Times New Roman" w:hAnsi="Cambria" w:cs="Times New Roman"/>
          <w:i/>
          <w:iCs/>
          <w:szCs w:val="24"/>
          <w:lang w:val="en-GB" w:eastAsia="es-ES_tradnl"/>
        </w:rPr>
        <w:t>Educational Forum,</w:t>
      </w:r>
      <w:r>
        <w:rPr>
          <w:rFonts w:ascii="Cambria" w:eastAsia="Times New Roman" w:hAnsi="Cambria" w:cs="Times New Roman"/>
          <w:szCs w:val="24"/>
          <w:lang w:val="en-GB" w:eastAsia="es-ES_tradnl"/>
        </w:rPr>
        <w:t> </w:t>
      </w:r>
      <w:r>
        <w:rPr>
          <w:rFonts w:ascii="Cambria" w:eastAsia="Times New Roman" w:hAnsi="Cambria" w:cs="Times New Roman"/>
          <w:i/>
          <w:iCs/>
          <w:szCs w:val="24"/>
          <w:lang w:val="en-GB" w:eastAsia="es-ES_tradnl"/>
        </w:rPr>
        <w:t>85</w:t>
      </w:r>
      <w:r>
        <w:rPr>
          <w:rFonts w:ascii="Cambria" w:eastAsia="Times New Roman" w:hAnsi="Cambria" w:cs="Times New Roman"/>
          <w:szCs w:val="24"/>
          <w:lang w:val="en-GB" w:eastAsia="es-ES_tradnl"/>
        </w:rPr>
        <w:t xml:space="preserve">(4), 351–354. </w:t>
      </w:r>
      <w:hyperlink r:id="rId8">
        <w:r>
          <w:rPr>
            <w:rStyle w:val="Hipervnculo"/>
            <w:rFonts w:ascii="Cambria" w:eastAsia="Times New Roman" w:hAnsi="Cambria" w:cs="Times New Roman"/>
            <w:color w:val="0563C1"/>
            <w:szCs w:val="24"/>
            <w:lang w:val="en-GB" w:eastAsia="es-ES_tradnl"/>
          </w:rPr>
          <w:t>https://doi.org/10.1080/00131725.2021.1957632</w:t>
        </w:r>
      </w:hyperlink>
    </w:p>
    <w:p w14:paraId="59103764" w14:textId="77777777" w:rsidR="003D1528" w:rsidRDefault="00000000">
      <w:pPr>
        <w:spacing w:after="0" w:line="240" w:lineRule="auto"/>
        <w:ind w:left="720" w:hanging="720"/>
        <w:rPr>
          <w:rFonts w:ascii="Cambria" w:eastAsia="Times New Roman" w:hAnsi="Cambria" w:cs="Times New Roman"/>
          <w:szCs w:val="24"/>
          <w:lang w:val="en-GB" w:eastAsia="es-ES_tradnl"/>
        </w:rPr>
      </w:pPr>
      <w:r w:rsidRPr="00D52854">
        <w:rPr>
          <w:rFonts w:ascii="Cambria" w:eastAsia="Times New Roman" w:hAnsi="Cambria" w:cs="Times New Roman"/>
          <w:szCs w:val="24"/>
          <w:lang w:val="en-US" w:eastAsia="es-ES_tradnl"/>
        </w:rPr>
        <w:t>Sarroub, L. K., &amp; Nicholas, C. (2021). </w:t>
      </w:r>
      <w:r>
        <w:rPr>
          <w:rFonts w:ascii="Cambria" w:eastAsia="Times New Roman" w:hAnsi="Cambria" w:cs="Times New Roman"/>
          <w:i/>
          <w:szCs w:val="24"/>
          <w:lang w:val="en-GB" w:eastAsia="es-ES_tradnl"/>
        </w:rPr>
        <w:t>Doing fieldwork at home: The ethnography of education in familiar contexts</w:t>
      </w:r>
      <w:r>
        <w:rPr>
          <w:rFonts w:ascii="Cambria" w:eastAsia="Times New Roman" w:hAnsi="Cambria" w:cs="Times New Roman"/>
          <w:szCs w:val="24"/>
          <w:lang w:val="en-GB" w:eastAsia="es-ES_tradnl"/>
        </w:rPr>
        <w:t>. Rowman &amp; Littlefield Publishers.</w:t>
      </w:r>
    </w:p>
    <w:p w14:paraId="5E29E34C" w14:textId="77777777" w:rsidR="003D1528" w:rsidRDefault="00000000">
      <w:pPr>
        <w:spacing w:after="0" w:line="240" w:lineRule="auto"/>
        <w:ind w:left="720" w:hanging="720"/>
        <w:rPr>
          <w:rFonts w:ascii="Cambria" w:eastAsia="Times New Roman" w:hAnsi="Cambria" w:cs="Times New Roman"/>
          <w:szCs w:val="24"/>
          <w:lang w:val="en-US"/>
        </w:rPr>
      </w:pPr>
      <w:r>
        <w:rPr>
          <w:rFonts w:ascii="Cambria" w:eastAsia="Times New Roman" w:hAnsi="Cambria" w:cs="Times New Roman"/>
          <w:szCs w:val="24"/>
          <w:shd w:val="clear" w:color="auto" w:fill="FFFFFF"/>
          <w:lang w:val="en-GB" w:eastAsia="es-ES_tradnl"/>
        </w:rPr>
        <w:t>Smith, C. (2013). </w:t>
      </w:r>
      <w:r>
        <w:rPr>
          <w:rFonts w:ascii="Cambria" w:eastAsia="Times New Roman" w:hAnsi="Cambria" w:cs="Times New Roman"/>
          <w:i/>
          <w:iCs/>
          <w:szCs w:val="24"/>
          <w:shd w:val="clear" w:color="auto" w:fill="FFFFFF"/>
          <w:lang w:val="en-GB" w:eastAsia="es-ES_tradnl"/>
        </w:rPr>
        <w:t>Leadership lessons from the Cherokee nation:  Learn from all I observe (Audio Book)</w:t>
      </w:r>
      <w:r>
        <w:rPr>
          <w:rFonts w:ascii="Cambria" w:eastAsia="Times New Roman" w:hAnsi="Cambria" w:cs="Times New Roman"/>
          <w:szCs w:val="24"/>
          <w:shd w:val="clear" w:color="auto" w:fill="FFFFFF"/>
          <w:lang w:val="en-GB" w:eastAsia="es-ES_tradnl"/>
        </w:rPr>
        <w:t>. McGraw-Hill.</w:t>
      </w:r>
    </w:p>
    <w:p w14:paraId="0801D100" w14:textId="77777777" w:rsidR="003D1528" w:rsidRDefault="00000000">
      <w:pPr>
        <w:spacing w:after="0" w:line="240" w:lineRule="auto"/>
        <w:ind w:left="720" w:hanging="720"/>
        <w:rPr>
          <w:rFonts w:ascii="Cambria" w:eastAsia="Times New Roman" w:hAnsi="Cambria" w:cs="Times New Roman"/>
          <w:szCs w:val="24"/>
          <w:lang w:val="en-GB" w:eastAsia="es-ES_tradnl"/>
        </w:rPr>
      </w:pPr>
      <w:r>
        <w:rPr>
          <w:rFonts w:ascii="Cambria" w:eastAsia="Times New Roman" w:hAnsi="Cambria" w:cs="Times New Roman"/>
          <w:szCs w:val="24"/>
          <w:lang w:val="en-GB" w:eastAsia="es-ES_tradnl"/>
        </w:rPr>
        <w:t>Tharp, D. S. (2020). </w:t>
      </w:r>
      <w:r>
        <w:rPr>
          <w:rFonts w:ascii="Cambria" w:eastAsia="Times New Roman" w:hAnsi="Cambria" w:cs="Times New Roman"/>
          <w:i/>
          <w:szCs w:val="24"/>
          <w:lang w:val="en-GB" w:eastAsia="es-ES_tradnl"/>
        </w:rPr>
        <w:t>Doing social justice education: A practitioner’s guide for workshops and structured conversations</w:t>
      </w:r>
      <w:r>
        <w:rPr>
          <w:rFonts w:ascii="Cambria" w:eastAsia="Times New Roman" w:hAnsi="Cambria" w:cs="Times New Roman"/>
          <w:szCs w:val="24"/>
          <w:lang w:val="en-GB" w:eastAsia="es-ES_tradnl"/>
        </w:rPr>
        <w:t>. Stylus Publishing LLC.</w:t>
      </w:r>
    </w:p>
    <w:p w14:paraId="48BBA02D" w14:textId="77777777" w:rsidR="003D1528" w:rsidRDefault="00000000">
      <w:pPr>
        <w:spacing w:after="0" w:line="240" w:lineRule="auto"/>
        <w:ind w:left="720" w:hanging="720"/>
        <w:rPr>
          <w:rFonts w:ascii="Cambria" w:eastAsia="Times New Roman" w:hAnsi="Cambria" w:cs="Times New Roman"/>
          <w:szCs w:val="24"/>
          <w:lang w:val="en-GB" w:eastAsia="es-ES_tradnl"/>
        </w:rPr>
      </w:pPr>
      <w:r>
        <w:rPr>
          <w:rFonts w:ascii="Cambria" w:eastAsia="Times New Roman" w:hAnsi="Cambria" w:cs="Times New Roman"/>
          <w:szCs w:val="24"/>
          <w:lang w:val="en-GB" w:eastAsia="es-ES_tradnl"/>
        </w:rPr>
        <w:t xml:space="preserve">Tidwell, S., Young, D. J., Wahed, J., Doron, T., Bauer, A., McGirr, M., </w:t>
      </w:r>
      <w:proofErr w:type="spellStart"/>
      <w:r>
        <w:rPr>
          <w:rFonts w:ascii="Cambria" w:eastAsia="Times New Roman" w:hAnsi="Cambria" w:cs="Times New Roman"/>
          <w:szCs w:val="24"/>
          <w:lang w:val="en-GB" w:eastAsia="es-ES_tradnl"/>
        </w:rPr>
        <w:t>Ludsin</w:t>
      </w:r>
      <w:proofErr w:type="spellEnd"/>
      <w:r>
        <w:rPr>
          <w:rFonts w:ascii="Cambria" w:eastAsia="Times New Roman" w:hAnsi="Cambria" w:cs="Times New Roman"/>
          <w:szCs w:val="24"/>
          <w:lang w:val="en-GB" w:eastAsia="es-ES_tradnl"/>
        </w:rPr>
        <w:t>, S. A., Moore, C., Miro, M., &amp; Rodgers, G. (2012, May 8). Letters to the editor. </w:t>
      </w:r>
      <w:r>
        <w:rPr>
          <w:rFonts w:ascii="Cambria" w:eastAsia="Times New Roman" w:hAnsi="Cambria" w:cs="Times New Roman"/>
          <w:i/>
          <w:szCs w:val="24"/>
          <w:lang w:val="en-GB" w:eastAsia="es-ES_tradnl"/>
        </w:rPr>
        <w:t>Wall Street Journal - Eastern Edition, 259</w:t>
      </w:r>
      <w:r>
        <w:rPr>
          <w:rFonts w:ascii="Cambria" w:eastAsia="Times New Roman" w:hAnsi="Cambria" w:cs="Times New Roman"/>
          <w:szCs w:val="24"/>
          <w:lang w:val="en-GB" w:eastAsia="es-ES_tradnl"/>
        </w:rPr>
        <w:t>(107), A12.</w:t>
      </w:r>
    </w:p>
    <w:p w14:paraId="60FCBA82" w14:textId="77777777" w:rsidR="003D1528" w:rsidRDefault="00000000">
      <w:pPr>
        <w:spacing w:after="0" w:line="240" w:lineRule="auto"/>
        <w:ind w:left="720" w:hanging="720"/>
        <w:rPr>
          <w:rFonts w:ascii="Cambria" w:eastAsia="Times New Roman" w:hAnsi="Cambria" w:cs="Times New Roman"/>
          <w:szCs w:val="24"/>
          <w:lang w:val="en-GB" w:eastAsia="es-ES_tradnl"/>
        </w:rPr>
      </w:pPr>
      <w:r>
        <w:rPr>
          <w:rFonts w:ascii="Cambria" w:eastAsia="Times New Roman" w:hAnsi="Cambria" w:cs="Times New Roman"/>
          <w:szCs w:val="24"/>
          <w:lang w:val="en-GB" w:eastAsia="es-ES_tradnl"/>
        </w:rPr>
        <w:t xml:space="preserve">Warren, C. A. (2021). About </w:t>
      </w:r>
      <w:proofErr w:type="spellStart"/>
      <w:r>
        <w:rPr>
          <w:rFonts w:ascii="Cambria" w:eastAsia="Times New Roman" w:hAnsi="Cambria" w:cs="Times New Roman"/>
          <w:szCs w:val="24"/>
          <w:lang w:val="en-GB" w:eastAsia="es-ES_tradnl"/>
        </w:rPr>
        <w:t>centering</w:t>
      </w:r>
      <w:proofErr w:type="spellEnd"/>
      <w:r>
        <w:rPr>
          <w:rFonts w:ascii="Cambria" w:eastAsia="Times New Roman" w:hAnsi="Cambria" w:cs="Times New Roman"/>
          <w:szCs w:val="24"/>
          <w:lang w:val="en-GB" w:eastAsia="es-ES_tradnl"/>
        </w:rPr>
        <w:t xml:space="preserve"> possibility in Black education. school: Questions. In </w:t>
      </w:r>
      <w:r>
        <w:rPr>
          <w:rFonts w:ascii="Cambria" w:eastAsia="Times New Roman" w:hAnsi="Cambria" w:cs="Times New Roman"/>
          <w:i/>
          <w:szCs w:val="24"/>
          <w:lang w:val="en-GB" w:eastAsia="es-ES_tradnl"/>
        </w:rPr>
        <w:t>Teachers College Press</w:t>
      </w:r>
      <w:r>
        <w:rPr>
          <w:rFonts w:ascii="Cambria" w:eastAsia="Times New Roman" w:hAnsi="Cambria" w:cs="Times New Roman"/>
          <w:szCs w:val="24"/>
          <w:lang w:val="en-GB" w:eastAsia="es-ES_tradnl"/>
        </w:rPr>
        <w:t>. Teachers College Press.</w:t>
      </w:r>
    </w:p>
    <w:p w14:paraId="5A8BF719" w14:textId="77777777" w:rsidR="003D1528" w:rsidRDefault="00000000">
      <w:pPr>
        <w:spacing w:after="0" w:line="240" w:lineRule="auto"/>
        <w:ind w:left="720" w:hanging="720"/>
        <w:rPr>
          <w:rFonts w:ascii="Cambria" w:eastAsia="Times New Roman" w:hAnsi="Cambria" w:cs="Times New Roman"/>
          <w:szCs w:val="24"/>
          <w:lang w:val="en-US"/>
        </w:rPr>
      </w:pPr>
      <w:r>
        <w:rPr>
          <w:rFonts w:ascii="Cambria" w:eastAsia="Times New Roman" w:hAnsi="Cambria" w:cs="Times New Roman"/>
          <w:szCs w:val="24"/>
          <w:lang w:val="en-US"/>
        </w:rPr>
        <w:t xml:space="preserve">Wegner, G. (2019, January 4). First Lego league wrap 2018. </w:t>
      </w:r>
      <w:r>
        <w:rPr>
          <w:rFonts w:ascii="Cambria" w:eastAsia="Times New Roman" w:hAnsi="Cambria" w:cs="Times New Roman"/>
          <w:i/>
          <w:iCs/>
          <w:szCs w:val="24"/>
          <w:lang w:val="en-US"/>
        </w:rPr>
        <w:t>Graham Wegner-Open educator</w:t>
      </w:r>
      <w:r>
        <w:rPr>
          <w:rFonts w:ascii="Cambria" w:eastAsia="Times New Roman" w:hAnsi="Cambria" w:cs="Times New Roman"/>
          <w:szCs w:val="24"/>
          <w:lang w:val="en-US"/>
        </w:rPr>
        <w:t>. https://gwegner.edublogs.org/</w:t>
      </w:r>
    </w:p>
    <w:p w14:paraId="46936D2C" w14:textId="77777777" w:rsidR="003D1528" w:rsidRDefault="003D1528">
      <w:pPr>
        <w:jc w:val="both"/>
        <w:rPr>
          <w:lang w:val="en-US"/>
        </w:rPr>
      </w:pPr>
    </w:p>
    <w:sectPr w:rsidR="003D1528" w:rsidSect="00D52854">
      <w:headerReference w:type="even" r:id="rId9"/>
      <w:headerReference w:type="default" r:id="rId10"/>
      <w:headerReference w:type="first" r:id="rId11"/>
      <w:pgSz w:w="11906" w:h="16838"/>
      <w:pgMar w:top="1418" w:right="851" w:bottom="851"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130C3" w14:textId="77777777" w:rsidR="00F32BB5" w:rsidRDefault="00F32BB5">
      <w:pPr>
        <w:spacing w:after="0" w:line="240" w:lineRule="auto"/>
      </w:pPr>
      <w:r>
        <w:separator/>
      </w:r>
    </w:p>
  </w:endnote>
  <w:endnote w:type="continuationSeparator" w:id="0">
    <w:p w14:paraId="280A804F" w14:textId="77777777" w:rsidR="00F32BB5" w:rsidRDefault="00F3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293C9" w14:textId="77777777" w:rsidR="00F32BB5" w:rsidRDefault="00F32BB5">
      <w:pPr>
        <w:spacing w:after="0" w:line="240" w:lineRule="auto"/>
      </w:pPr>
      <w:r>
        <w:separator/>
      </w:r>
    </w:p>
  </w:footnote>
  <w:footnote w:type="continuationSeparator" w:id="0">
    <w:p w14:paraId="17EC4CCE" w14:textId="77777777" w:rsidR="00F32BB5" w:rsidRDefault="00F32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0B22C" w14:textId="77777777" w:rsidR="00D52854" w:rsidRPr="00682ACA" w:rsidRDefault="00D52854" w:rsidP="00223685">
    <w:pPr>
      <w:pStyle w:val="Encabezado"/>
      <w:rPr>
        <w:b/>
        <w:color w:val="507389"/>
      </w:rPr>
    </w:pPr>
    <w:r w:rsidRPr="001256CD">
      <w:rPr>
        <w:noProof/>
      </w:rPr>
      <mc:AlternateContent>
        <mc:Choice Requires="wps">
          <w:drawing>
            <wp:anchor distT="45720" distB="45720" distL="114300" distR="114300" simplePos="0" relativeHeight="251660288" behindDoc="0" locked="0" layoutInCell="1" allowOverlap="1" wp14:anchorId="3F7FED5E" wp14:editId="29C20F82">
              <wp:simplePos x="0" y="0"/>
              <wp:positionH relativeFrom="column">
                <wp:posOffset>2082165</wp:posOffset>
              </wp:positionH>
              <wp:positionV relativeFrom="paragraph">
                <wp:posOffset>-249555</wp:posOffset>
              </wp:positionV>
              <wp:extent cx="3495675" cy="523875"/>
              <wp:effectExtent l="0" t="0" r="0" b="0"/>
              <wp:wrapSquare wrapText="bothSides"/>
              <wp:docPr id="17752182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23875"/>
                      </a:xfrm>
                      <a:prstGeom prst="rect">
                        <a:avLst/>
                      </a:prstGeom>
                      <a:noFill/>
                      <a:ln w="9525">
                        <a:noFill/>
                        <a:prstDash val="lgDashDot"/>
                        <a:miter lim="800000"/>
                        <a:headEnd/>
                        <a:tailEnd/>
                      </a:ln>
                    </wps:spPr>
                    <wps:txbx>
                      <w:txbxContent>
                        <w:p w14:paraId="501CA23B" w14:textId="77777777" w:rsidR="00D52854" w:rsidRPr="00D52854" w:rsidRDefault="00D52854" w:rsidP="003E2DE1">
                          <w:pPr>
                            <w:jc w:val="center"/>
                            <w:rPr>
                              <w:sz w:val="18"/>
                              <w:lang w:val="en-US"/>
                            </w:rPr>
                          </w:pPr>
                          <w:r w:rsidRPr="00D52854">
                            <w:rPr>
                              <w:sz w:val="18"/>
                              <w:lang w:val="en-US"/>
                            </w:rPr>
                            <w:t xml:space="preserve">© Global Knowledge Academics, authors. All rights reserved. </w:t>
                          </w:r>
                          <w:r w:rsidRPr="00D52854">
                            <w:rPr>
                              <w:sz w:val="18"/>
                              <w:lang w:val="en-US"/>
                            </w:rPr>
                            <w:br/>
                            <w:t>ISSN 2695-9925       |       Vol. X, No. X, 202X      |       pp. XX-XX htps://doi.org/XX.XXXXX/xxxxxxx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FED5E" id="_x0000_t202" coordsize="21600,21600" o:spt="202" path="m,l,21600r21600,l21600,xe">
              <v:stroke joinstyle="miter"/>
              <v:path gradientshapeok="t" o:connecttype="rect"/>
            </v:shapetype>
            <v:shape id="Cuadro de texto 2" o:spid="_x0000_s1026" type="#_x0000_t202" style="position:absolute;margin-left:163.95pt;margin-top:-19.65pt;width:275.2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" filled="f" stroked="f">
              <v:stroke dashstyle="longDashDot"/>
              <v:textbox>
                <w:txbxContent>
                  <w:p w14:paraId="501CA23B" w14:textId="77777777" w:rsidR="00D52854" w:rsidRPr="00D52854" w:rsidRDefault="00D52854" w:rsidP="003E2DE1">
                    <w:pPr>
                      <w:jc w:val="center"/>
                      <w:rPr>
                        <w:sz w:val="18"/>
                        <w:lang w:val="en-US"/>
                      </w:rPr>
                    </w:pPr>
                    <w:r w:rsidRPr="00D52854">
                      <w:rPr>
                        <w:sz w:val="18"/>
                        <w:lang w:val="en-US"/>
                      </w:rPr>
                      <w:t xml:space="preserve">© Global Knowledge Academics, authors. All rights reserved. </w:t>
                    </w:r>
                    <w:r w:rsidRPr="00D52854">
                      <w:rPr>
                        <w:sz w:val="18"/>
                        <w:lang w:val="en-US"/>
                      </w:rPr>
                      <w:br/>
                      <w:t>ISSN 2695-9925       |       Vol. X, No. X, 202X      |       pp. XX-XX htps://doi.org/XX.XXXXX/xxxxxxx</w:t>
                    </w:r>
                  </w:p>
                </w:txbxContent>
              </v:textbox>
              <w10:wrap type="square"/>
            </v:shape>
          </w:pict>
        </mc:Fallback>
      </mc:AlternateContent>
    </w:r>
    <w:r>
      <w:rPr>
        <w:b/>
        <w:noProof/>
        <w:color w:val="507389"/>
      </w:rPr>
      <w:drawing>
        <wp:anchor distT="0" distB="0" distL="114300" distR="114300" simplePos="0" relativeHeight="251659264" behindDoc="0" locked="0" layoutInCell="1" allowOverlap="1" wp14:anchorId="14D9B855" wp14:editId="7F816101">
          <wp:simplePos x="0" y="0"/>
          <wp:positionH relativeFrom="margin">
            <wp:posOffset>-175260</wp:posOffset>
          </wp:positionH>
          <wp:positionV relativeFrom="margin">
            <wp:posOffset>-737870</wp:posOffset>
          </wp:positionV>
          <wp:extent cx="5695950" cy="619125"/>
          <wp:effectExtent l="0" t="0" r="0" b="9525"/>
          <wp:wrapSquare wrapText="bothSides"/>
          <wp:docPr id="12638003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14:sizeRelH relativeFrom="margin">
            <wp14:pctWidth>0</wp14:pctWidth>
          </wp14:sizeRelH>
        </wp:anchor>
      </w:drawing>
    </w:r>
  </w:p>
  <w:p w14:paraId="222584E3" w14:textId="67E270E6" w:rsidR="003D1528" w:rsidRPr="00D52854" w:rsidRDefault="003D1528" w:rsidP="00D528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22AC" w14:textId="77777777" w:rsidR="00D52854" w:rsidRPr="00682ACA" w:rsidRDefault="00D52854" w:rsidP="00223685">
    <w:pPr>
      <w:pStyle w:val="Encabezado"/>
      <w:rPr>
        <w:b/>
        <w:color w:val="507389"/>
      </w:rPr>
    </w:pPr>
    <w:r w:rsidRPr="001256CD">
      <w:rPr>
        <w:noProof/>
      </w:rPr>
      <mc:AlternateContent>
        <mc:Choice Requires="wps">
          <w:drawing>
            <wp:anchor distT="45720" distB="45720" distL="114300" distR="114300" simplePos="0" relativeHeight="251663360" behindDoc="0" locked="0" layoutInCell="1" allowOverlap="1" wp14:anchorId="75E6DDC6" wp14:editId="34D6E51A">
              <wp:simplePos x="0" y="0"/>
              <wp:positionH relativeFrom="column">
                <wp:posOffset>2082165</wp:posOffset>
              </wp:positionH>
              <wp:positionV relativeFrom="paragraph">
                <wp:posOffset>-249555</wp:posOffset>
              </wp:positionV>
              <wp:extent cx="3495675" cy="523875"/>
              <wp:effectExtent l="0" t="0" r="0" b="0"/>
              <wp:wrapSquare wrapText="bothSides"/>
              <wp:docPr id="1018185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23875"/>
                      </a:xfrm>
                      <a:prstGeom prst="rect">
                        <a:avLst/>
                      </a:prstGeom>
                      <a:noFill/>
                      <a:ln w="9525">
                        <a:noFill/>
                        <a:prstDash val="lgDashDot"/>
                        <a:miter lim="800000"/>
                        <a:headEnd/>
                        <a:tailEnd/>
                      </a:ln>
                    </wps:spPr>
                    <wps:txbx>
                      <w:txbxContent>
                        <w:p w14:paraId="73E50A1B" w14:textId="77777777" w:rsidR="00D52854" w:rsidRPr="00D52854" w:rsidRDefault="00D52854" w:rsidP="003E2DE1">
                          <w:pPr>
                            <w:jc w:val="center"/>
                            <w:rPr>
                              <w:sz w:val="18"/>
                              <w:lang w:val="en-US"/>
                            </w:rPr>
                          </w:pPr>
                          <w:r w:rsidRPr="00D52854">
                            <w:rPr>
                              <w:sz w:val="18"/>
                              <w:lang w:val="en-US"/>
                            </w:rPr>
                            <w:t xml:space="preserve">© Global Knowledge Academics, authors. All rights reserved. </w:t>
                          </w:r>
                          <w:r w:rsidRPr="00D52854">
                            <w:rPr>
                              <w:sz w:val="18"/>
                              <w:lang w:val="en-US"/>
                            </w:rPr>
                            <w:br/>
                          </w:r>
                          <w:r w:rsidRPr="00D52854">
                            <w:rPr>
                              <w:sz w:val="18"/>
                              <w:lang w:val="en-US"/>
                            </w:rPr>
                            <w:t>ISSN 2695-9925       |       Vol. X, No. X, 202X      |       pp. XX-XX htps://doi.org/XX.XXXXX/xxxxxxx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6DDC6" id="_x0000_t202" coordsize="21600,21600" o:spt="202" path="m,l,21600r21600,l21600,xe">
              <v:stroke joinstyle="miter"/>
              <v:path gradientshapeok="t" o:connecttype="rect"/>
            </v:shapetype>
            <v:shape id="_x0000_s1027" type="#_x0000_t202" style="position:absolute;margin-left:163.95pt;margin-top:-19.65pt;width:275.25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" filled="f" stroked="f">
              <v:stroke dashstyle="longDashDot"/>
              <v:textbox>
                <w:txbxContent>
                  <w:p w14:paraId="73E50A1B" w14:textId="77777777" w:rsidR="00D52854" w:rsidRPr="00D52854" w:rsidRDefault="00D52854" w:rsidP="003E2DE1">
                    <w:pPr>
                      <w:jc w:val="center"/>
                      <w:rPr>
                        <w:sz w:val="18"/>
                        <w:lang w:val="en-US"/>
                      </w:rPr>
                    </w:pPr>
                    <w:r w:rsidRPr="00D52854">
                      <w:rPr>
                        <w:sz w:val="18"/>
                        <w:lang w:val="en-US"/>
                      </w:rPr>
                      <w:t xml:space="preserve">© Global Knowledge Academics, authors. All rights reserved. </w:t>
                    </w:r>
                    <w:r w:rsidRPr="00D52854">
                      <w:rPr>
                        <w:sz w:val="18"/>
                        <w:lang w:val="en-US"/>
                      </w:rPr>
                      <w:br/>
                    </w:r>
                    <w:r w:rsidRPr="00D52854">
                      <w:rPr>
                        <w:sz w:val="18"/>
                        <w:lang w:val="en-US"/>
                      </w:rPr>
                      <w:t>ISSN 2695-9925       |       Vol. X, No. X, 202X      |       pp. XX-XX htps://doi.org/XX.XXXXX/xxxxxxx</w:t>
                    </w:r>
                  </w:p>
                </w:txbxContent>
              </v:textbox>
              <w10:wrap type="square"/>
            </v:shape>
          </w:pict>
        </mc:Fallback>
      </mc:AlternateContent>
    </w:r>
    <w:r>
      <w:rPr>
        <w:b/>
        <w:noProof/>
        <w:color w:val="507389"/>
      </w:rPr>
      <w:drawing>
        <wp:anchor distT="0" distB="0" distL="114300" distR="114300" simplePos="0" relativeHeight="251662336" behindDoc="0" locked="0" layoutInCell="1" allowOverlap="1" wp14:anchorId="331FDDB4" wp14:editId="68891243">
          <wp:simplePos x="0" y="0"/>
          <wp:positionH relativeFrom="margin">
            <wp:posOffset>-175260</wp:posOffset>
          </wp:positionH>
          <wp:positionV relativeFrom="margin">
            <wp:posOffset>-737870</wp:posOffset>
          </wp:positionV>
          <wp:extent cx="5695950" cy="619125"/>
          <wp:effectExtent l="0" t="0" r="0" b="9525"/>
          <wp:wrapSquare wrapText="bothSides"/>
          <wp:docPr id="49016139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14:sizeRelH relativeFrom="margin">
            <wp14:pctWidth>0</wp14:pctWidth>
          </wp14:sizeRelH>
        </wp:anchor>
      </w:drawing>
    </w:r>
  </w:p>
  <w:p w14:paraId="1E22B164" w14:textId="77777777" w:rsidR="00D52854" w:rsidRDefault="00D528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24868" w14:textId="77777777" w:rsidR="003D1528" w:rsidRDefault="00000000">
    <w:pPr>
      <w:pStyle w:val="Encabezado"/>
    </w:pPr>
    <w:r>
      <w:rPr>
        <w:noProof/>
      </w:rPr>
      <w:drawing>
        <wp:anchor distT="0" distB="0" distL="114300" distR="114300" simplePos="0" relativeHeight="2" behindDoc="0" locked="0" layoutInCell="0" allowOverlap="1" wp14:anchorId="511F5992" wp14:editId="3ABC1DD1">
          <wp:simplePos x="0" y="0"/>
          <wp:positionH relativeFrom="column">
            <wp:posOffset>1722755</wp:posOffset>
          </wp:positionH>
          <wp:positionV relativeFrom="paragraph">
            <wp:posOffset>-246380</wp:posOffset>
          </wp:positionV>
          <wp:extent cx="2475865" cy="584835"/>
          <wp:effectExtent l="0" t="0" r="0" b="0"/>
          <wp:wrapTight wrapText="bothSides">
            <wp:wrapPolygon edited="0">
              <wp:start x="-15" y="0"/>
              <wp:lineTo x="-15" y="21075"/>
              <wp:lineTo x="20602" y="21075"/>
              <wp:lineTo x="21493" y="20565"/>
              <wp:lineTo x="21493" y="3692"/>
              <wp:lineTo x="21040" y="445"/>
              <wp:lineTo x="20496" y="0"/>
              <wp:lineTo x="-15" y="0"/>
            </wp:wrapPolygon>
          </wp:wrapTight>
          <wp:docPr id="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pic:cNvPicPr>
                    <a:picLocks noChangeAspect="1" noChangeArrowheads="1"/>
                  </pic:cNvPicPr>
                </pic:nvPicPr>
                <pic:blipFill>
                  <a:blip r:embed="rId1"/>
                  <a:stretch>
                    <a:fillRect/>
                  </a:stretch>
                </pic:blipFill>
                <pic:spPr bwMode="auto">
                  <a:xfrm>
                    <a:off x="0" y="0"/>
                    <a:ext cx="2475865" cy="584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05B4"/>
    <w:multiLevelType w:val="multilevel"/>
    <w:tmpl w:val="D278C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7FD24AB"/>
    <w:multiLevelType w:val="multilevel"/>
    <w:tmpl w:val="D0CCCB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6060283">
    <w:abstractNumId w:val="0"/>
  </w:num>
  <w:num w:numId="2" w16cid:durableId="164554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28"/>
    <w:rsid w:val="0001708D"/>
    <w:rsid w:val="003D1528"/>
    <w:rsid w:val="00D52854"/>
    <w:rsid w:val="00F32BB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1133"/>
  <w15:docId w15:val="{370349C8-245A-4370-B4FA-4831638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D7E4F"/>
  </w:style>
  <w:style w:type="character" w:customStyle="1" w:styleId="PiedepginaCar">
    <w:name w:val="Pie de página Car"/>
    <w:basedOn w:val="Fuentedeprrafopredeter"/>
    <w:link w:val="Piedepgina"/>
    <w:uiPriority w:val="99"/>
    <w:qFormat/>
    <w:rsid w:val="009D7E4F"/>
  </w:style>
  <w:style w:type="character" w:customStyle="1" w:styleId="FirstParaofSectionTextStyleChar">
    <w:name w:val="FirstParaofSectionTextStyle Char"/>
    <w:basedOn w:val="Fuentedeprrafopredeter"/>
    <w:link w:val="FirstParaofSectionTextStyle"/>
    <w:qFormat/>
    <w:rsid w:val="009001E0"/>
    <w:rPr>
      <w:sz w:val="20"/>
      <w:szCs w:val="20"/>
      <w:lang w:val="en-US"/>
    </w:rPr>
  </w:style>
  <w:style w:type="character" w:customStyle="1" w:styleId="SubsequentParagraphsTextStyleChar">
    <w:name w:val="SubsequentParagraphsTextStyle Char"/>
    <w:link w:val="SubsequentParagraphsTextStyle"/>
    <w:qFormat/>
    <w:rsid w:val="009001E0"/>
    <w:rPr>
      <w:rFonts w:ascii="Times New Roman" w:eastAsia="MS Mincho" w:hAnsi="Times New Roman" w:cs="Times New Roman"/>
      <w:sz w:val="20"/>
      <w:szCs w:val="20"/>
      <w:lang w:val="es-ES_tradnl" w:eastAsia="es-ES"/>
    </w:rPr>
  </w:style>
  <w:style w:type="character" w:customStyle="1" w:styleId="BlockQuoteChar">
    <w:name w:val="BlockQuote Char"/>
    <w:basedOn w:val="Fuentedeprrafopredeter"/>
    <w:link w:val="BlockQuote"/>
    <w:qFormat/>
    <w:rsid w:val="009001E0"/>
    <w:rPr>
      <w:sz w:val="20"/>
      <w:szCs w:val="20"/>
      <w:lang w:val="en-US"/>
    </w:rPr>
  </w:style>
  <w:style w:type="character" w:customStyle="1" w:styleId="SectionHeadingsChar">
    <w:name w:val="SectionHeadings Char"/>
    <w:basedOn w:val="Fuentedeprrafopredeter"/>
    <w:link w:val="SectionHeadings"/>
    <w:qFormat/>
    <w:rsid w:val="009001E0"/>
    <w:rPr>
      <w:b/>
      <w:sz w:val="24"/>
      <w:szCs w:val="20"/>
      <w:lang w:val="en-US"/>
    </w:rPr>
  </w:style>
  <w:style w:type="character" w:customStyle="1" w:styleId="ReferncesTextChar">
    <w:name w:val="ReferncesText Char"/>
    <w:basedOn w:val="Fuentedeprrafopredeter"/>
    <w:link w:val="ReferncesText"/>
    <w:qFormat/>
    <w:rsid w:val="009001E0"/>
    <w:rPr>
      <w:sz w:val="20"/>
      <w:szCs w:val="24"/>
      <w:lang w:val="en-US"/>
    </w:rPr>
  </w:style>
  <w:style w:type="character" w:styleId="Hipervnculo">
    <w:name w:val="Hyperlink"/>
    <w:basedOn w:val="Fuentedeprrafopredeter"/>
    <w:uiPriority w:val="99"/>
    <w:semiHidden/>
    <w:unhideWhenUsed/>
    <w:rsid w:val="00D60791"/>
    <w:rPr>
      <w:color w:val="0000FF" w:themeColor="hyperlink"/>
      <w:u w:val="single"/>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9D7E4F"/>
    <w:pPr>
      <w:tabs>
        <w:tab w:val="center" w:pos="4252"/>
        <w:tab w:val="right" w:pos="8504"/>
      </w:tabs>
      <w:spacing w:after="0" w:line="240" w:lineRule="auto"/>
    </w:pPr>
  </w:style>
  <w:style w:type="paragraph" w:styleId="Piedepgina">
    <w:name w:val="footer"/>
    <w:basedOn w:val="Normal"/>
    <w:link w:val="PiedepginaCar"/>
    <w:uiPriority w:val="99"/>
    <w:unhideWhenUsed/>
    <w:rsid w:val="009D7E4F"/>
    <w:pPr>
      <w:tabs>
        <w:tab w:val="center" w:pos="4252"/>
        <w:tab w:val="right" w:pos="8504"/>
      </w:tabs>
      <w:spacing w:after="0" w:line="240" w:lineRule="auto"/>
    </w:pPr>
  </w:style>
  <w:style w:type="paragraph" w:styleId="Prrafodelista">
    <w:name w:val="List Paragraph"/>
    <w:basedOn w:val="Normal"/>
    <w:uiPriority w:val="34"/>
    <w:qFormat/>
    <w:rsid w:val="009D7E4F"/>
    <w:pPr>
      <w:ind w:left="720"/>
      <w:contextualSpacing/>
    </w:pPr>
  </w:style>
  <w:style w:type="paragraph" w:customStyle="1" w:styleId="show">
    <w:name w:val="show"/>
    <w:basedOn w:val="Normal"/>
    <w:qFormat/>
    <w:rsid w:val="009001E0"/>
    <w:pPr>
      <w:spacing w:beforeAutospacing="1" w:afterAutospacing="1" w:line="240" w:lineRule="auto"/>
    </w:pPr>
    <w:rPr>
      <w:rFonts w:ascii="Times New Roman" w:eastAsia="Times New Roman" w:hAnsi="Times New Roman" w:cs="Times New Roman"/>
      <w:sz w:val="24"/>
      <w:szCs w:val="24"/>
      <w:lang w:val="es-CO" w:eastAsia="es-ES_tradnl"/>
    </w:rPr>
  </w:style>
  <w:style w:type="paragraph" w:customStyle="1" w:styleId="FirstParaofSectionTextStyle">
    <w:name w:val="FirstParaofSectionTextStyle"/>
    <w:basedOn w:val="Normal"/>
    <w:link w:val="FirstParaofSectionTextStyleChar"/>
    <w:qFormat/>
    <w:rsid w:val="009001E0"/>
    <w:pPr>
      <w:spacing w:after="0" w:line="240" w:lineRule="auto"/>
      <w:jc w:val="both"/>
    </w:pPr>
    <w:rPr>
      <w:sz w:val="20"/>
      <w:szCs w:val="20"/>
      <w:lang w:val="en-US"/>
    </w:rPr>
  </w:style>
  <w:style w:type="paragraph" w:customStyle="1" w:styleId="PaperTitle">
    <w:name w:val="PaperTitle"/>
    <w:basedOn w:val="Normal"/>
    <w:qFormat/>
    <w:rsid w:val="009001E0"/>
    <w:pPr>
      <w:spacing w:after="360" w:line="320" w:lineRule="atLeast"/>
      <w:contextualSpacing/>
      <w:jc w:val="both"/>
    </w:pPr>
    <w:rPr>
      <w:rFonts w:asciiTheme="majorHAnsi" w:eastAsiaTheme="minorEastAsia" w:hAnsiTheme="majorHAnsi"/>
      <w:b/>
      <w:color w:val="000000"/>
      <w:sz w:val="32"/>
      <w:szCs w:val="18"/>
      <w:lang w:val="en-GB" w:eastAsia="de-DE"/>
    </w:rPr>
  </w:style>
  <w:style w:type="paragraph" w:customStyle="1" w:styleId="SubsequentParagraphsTextStyle">
    <w:name w:val="SubsequentParagraphsTextStyle"/>
    <w:basedOn w:val="Normal"/>
    <w:link w:val="SubsequentParagraphsTextStyleChar"/>
    <w:qFormat/>
    <w:rsid w:val="009001E0"/>
    <w:pPr>
      <w:spacing w:after="0" w:line="240" w:lineRule="auto"/>
      <w:ind w:firstLine="360"/>
    </w:pPr>
    <w:rPr>
      <w:rFonts w:ascii="Times New Roman" w:eastAsia="MS Mincho" w:hAnsi="Times New Roman" w:cs="Times New Roman"/>
      <w:sz w:val="20"/>
      <w:szCs w:val="20"/>
      <w:lang w:val="es-ES_tradnl" w:eastAsia="es-ES"/>
    </w:rPr>
  </w:style>
  <w:style w:type="paragraph" w:customStyle="1" w:styleId="BlockQuote">
    <w:name w:val="BlockQuote"/>
    <w:basedOn w:val="Normal"/>
    <w:link w:val="BlockQuoteChar"/>
    <w:qFormat/>
    <w:rsid w:val="009001E0"/>
    <w:pPr>
      <w:spacing w:before="200" w:line="240" w:lineRule="auto"/>
      <w:ind w:left="720"/>
      <w:jc w:val="both"/>
    </w:pPr>
    <w:rPr>
      <w:sz w:val="20"/>
      <w:szCs w:val="20"/>
      <w:lang w:val="en-US"/>
    </w:rPr>
  </w:style>
  <w:style w:type="paragraph" w:customStyle="1" w:styleId="SectionHeadings">
    <w:name w:val="SectionHeadings"/>
    <w:basedOn w:val="Normal"/>
    <w:link w:val="SectionHeadingsChar"/>
    <w:qFormat/>
    <w:rsid w:val="009001E0"/>
    <w:pPr>
      <w:spacing w:before="200" w:line="240" w:lineRule="auto"/>
    </w:pPr>
    <w:rPr>
      <w:b/>
      <w:sz w:val="24"/>
      <w:szCs w:val="20"/>
      <w:lang w:val="en-US"/>
    </w:rPr>
  </w:style>
  <w:style w:type="paragraph" w:customStyle="1" w:styleId="ReferncesText">
    <w:name w:val="ReferncesText"/>
    <w:link w:val="ReferncesTextChar"/>
    <w:qFormat/>
    <w:rsid w:val="009001E0"/>
    <w:pPr>
      <w:ind w:left="720" w:hanging="720"/>
      <w:jc w:val="both"/>
    </w:pPr>
    <w:rPr>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80/00131725.2021.19576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zproxy.roosevelt.edu:2048/login?url=https://www.proquest.com/dissertations-theses/quality-education-leadership-doctoral/docview/1752116829/se-2?accountid=285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5132</Characters>
  <Application>Microsoft Office Word</Application>
  <DocSecurity>0</DocSecurity>
  <Lines>42</Lines>
  <Paragraphs>12</Paragraphs>
  <ScaleCrop>false</ScaleCrop>
  <Company>Luffi</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dc:description/>
  <cp:lastModifiedBy>Angel Huaire</cp:lastModifiedBy>
  <cp:revision>2</cp:revision>
  <dcterms:created xsi:type="dcterms:W3CDTF">2024-12-18T00:23:00Z</dcterms:created>
  <dcterms:modified xsi:type="dcterms:W3CDTF">2024-12-18T00:23:00Z</dcterms:modified>
  <dc:language>es-ES</dc:language>
</cp:coreProperties>
</file>